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BFD" w:rsidRDefault="000F0BC5" w:rsidP="005B0D19">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9BFEA17-12D1-4EF3-81B3-CF91BD3E57F0" style="width:450.75pt;height:366pt">
            <v:imagedata r:id="rId8" o:title=""/>
          </v:shape>
        </w:pict>
      </w:r>
    </w:p>
    <w:p w:rsidR="00A57BFD" w:rsidRDefault="00A57BFD">
      <w:pPr>
        <w:rPr>
          <w:noProof/>
        </w:rPr>
        <w:sectPr w:rsidR="00A57BFD" w:rsidSect="005B0D19">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A57BFD" w:rsidRPr="005B0D19" w:rsidRDefault="005B0D19">
      <w:pPr>
        <w:pStyle w:val="Exposdesmotifstitre"/>
        <w:rPr>
          <w:noProof/>
        </w:rPr>
      </w:pPr>
      <w:bookmarkStart w:id="0" w:name="_GoBack"/>
      <w:bookmarkEnd w:id="0"/>
      <w:r w:rsidRPr="005B0D19">
        <w:rPr>
          <w:noProof/>
        </w:rPr>
        <w:lastRenderedPageBreak/>
        <w:t>ΑΙΤΙΟΛΟΓΙΚΗ ΕΚΘΕΣΗ</w:t>
      </w:r>
    </w:p>
    <w:p w:rsidR="00A57BFD" w:rsidRPr="005B0D19" w:rsidRDefault="005B0D19">
      <w:pPr>
        <w:pStyle w:val="ManualHeading1"/>
        <w:rPr>
          <w:noProof/>
        </w:rPr>
      </w:pPr>
      <w:r w:rsidRPr="005B0D19">
        <w:rPr>
          <w:noProof/>
        </w:rPr>
        <w:t>1.</w:t>
      </w:r>
      <w:r w:rsidRPr="005B0D19">
        <w:rPr>
          <w:noProof/>
        </w:rPr>
        <w:tab/>
        <w:t>ΠΛΑΙΣΙΟ ΤΗΣ ΠΡΟΤΑΣΗΣ</w:t>
      </w:r>
    </w:p>
    <w:p w:rsidR="00A57BFD" w:rsidRPr="005B0D19" w:rsidRDefault="005B0D19">
      <w:pPr>
        <w:pStyle w:val="ManualHeading2"/>
        <w:rPr>
          <w:noProof/>
        </w:rPr>
      </w:pPr>
      <w:r w:rsidRPr="005B0D19">
        <w:rPr>
          <w:noProof/>
          <w:color w:val="000000"/>
          <w:u w:color="000000"/>
          <w:bdr w:val="nil"/>
        </w:rPr>
        <w:t>•</w:t>
      </w:r>
      <w:r w:rsidRPr="005B0D19">
        <w:rPr>
          <w:noProof/>
        </w:rPr>
        <w:tab/>
        <w:t>Αιτιολόγηση και στόχοι της πρότασης</w:t>
      </w:r>
    </w:p>
    <w:p w:rsidR="00A57BFD" w:rsidRPr="005B0D19" w:rsidRDefault="005B0D19">
      <w:pPr>
        <w:rPr>
          <w:noProof/>
        </w:rPr>
      </w:pPr>
      <w:r w:rsidRPr="005B0D19">
        <w:rPr>
          <w:noProof/>
        </w:rPr>
        <w:t>Η πρόταση της Επιτροπής για το πολυετές δημοσιονομικό πλαίσιο (ΠΔΠ) για την περίοδο 2021-2027 (πρόταση για το ΠΔΠ)</w:t>
      </w:r>
      <w:r>
        <w:rPr>
          <w:rStyle w:val="af7"/>
          <w:noProof/>
        </w:rPr>
        <w:footnoteReference w:id="2"/>
      </w:r>
      <w:r w:rsidRPr="005B0D19">
        <w:rPr>
          <w:noProof/>
        </w:rPr>
        <w:t xml:space="preserve"> καθορίζει το δημοσιονομικό πλαίσιο και τις κύριες κατευθύνσεις για την Κοινή Γεωργική Πολιτική (ΚΓΠ). Στο πλαίσιο αυτό, η Επιτροπή παρουσιάζει ένα σύνολο κανονισμών που καθορίζουν το νομοθετικό πλαίσιο της ΚΓΠ για την περίοδο 2021-2027 καθώς και μια εκτίμηση των επιπτώσεων των εναλλακτικών σεναρίων για την εξέλιξη της πολιτικής. Οι εν λόγω προτάσεις προβλέπουν ως ημερομηνία εφαρμογής την 1η Ιανουαρίου 2021 και υποβάλλονται για μια Ένωση 27 κρατών μελών, σύμφωνα με την κοινοποίηση της πρόθεσης του Ηνωμένου Βασιλείου να αποχωρήσει από την Ευρωπαϊκή Ένωση και την Ευρατόμ, βάσει του άρθρου</w:t>
      </w:r>
      <w:r>
        <w:rPr>
          <w:noProof/>
        </w:rPr>
        <w:t> </w:t>
      </w:r>
      <w:r w:rsidRPr="005B0D19">
        <w:rPr>
          <w:noProof/>
        </w:rPr>
        <w:t>50 της Συνθήκης για την Ευρωπαϊκή Ένωση, που ελήφθη από το Ευρωπαϊκό Συμβούλιο στις 29 Μαρτίου 2017.</w:t>
      </w:r>
    </w:p>
    <w:p w:rsidR="00A57BFD" w:rsidRPr="005B0D19" w:rsidRDefault="005B0D19">
      <w:pPr>
        <w:rPr>
          <w:noProof/>
        </w:rPr>
      </w:pPr>
      <w:r w:rsidRPr="005B0D19">
        <w:rPr>
          <w:noProof/>
        </w:rPr>
        <w:t xml:space="preserve">Η τελευταία μεταρρύθμιση της ΚΓΠ αποφασίστηκε το 2013 και τέθηκε σε εφαρμογή το 2015. Έκτοτε έχει μεταβληθεί σημαντικά το περιβάλλον εντός του οποίου διαμορφώθηκε αυτή η μεταρρύθμιση. Ειδικότερα: </w:t>
      </w:r>
    </w:p>
    <w:p w:rsidR="00A57BFD" w:rsidRPr="005B0D19" w:rsidRDefault="005B0D19">
      <w:pPr>
        <w:rPr>
          <w:noProof/>
        </w:rPr>
      </w:pPr>
      <w:r w:rsidRPr="005B0D19">
        <w:rPr>
          <w:noProof/>
        </w:rPr>
        <w:t>Οι τιμές των γεωργικών προϊόντων μειώθηκαν σημαντικά εξαιτίας, μεταξύ άλλων, μακροοικονομικών παραγόντων και γεωπολιτικών εντάσεων.</w:t>
      </w:r>
    </w:p>
    <w:p w:rsidR="00A57BFD" w:rsidRPr="005B0D19" w:rsidRDefault="005B0D19">
      <w:pPr>
        <w:rPr>
          <w:noProof/>
        </w:rPr>
      </w:pPr>
      <w:r w:rsidRPr="005B0D19">
        <w:rPr>
          <w:noProof/>
        </w:rPr>
        <w:t>Το επίκεντρο των εμπορικών διαπραγματεύσεων μετακινήθηκε εμφανέστερα από πολυμερείς σε διμερείς συμφωνίες και η ΕΕ κατέστη πιο ανοικτή στις παγκόσμιες αγορές.</w:t>
      </w:r>
    </w:p>
    <w:p w:rsidR="00A57BFD" w:rsidRPr="005B0D19" w:rsidRDefault="005B0D19">
      <w:pPr>
        <w:rPr>
          <w:noProof/>
        </w:rPr>
      </w:pPr>
      <w:r w:rsidRPr="005B0D19">
        <w:rPr>
          <w:noProof/>
        </w:rPr>
        <w:t xml:space="preserve">Η ΕΕ έχει αναλάβει νέες διεθνείς δεσμεύσεις, π.χ. όσον αφορά τον μετριασμό της κλιματικής αλλαγής (μέσω της 21ης Διάσκεψης των Συμβαλλομένων Μερών - </w:t>
      </w:r>
      <w:r>
        <w:rPr>
          <w:noProof/>
        </w:rPr>
        <w:t>COP</w:t>
      </w:r>
      <w:r w:rsidRPr="005B0D19">
        <w:rPr>
          <w:noProof/>
        </w:rPr>
        <w:t xml:space="preserve"> 21) και ευρείες πτυχές της βιώσιμης ανάπτυξης (μέσω των Στόχων Βιώσιμης Ανάπτυξης των Ηνωμένων Εθνών – ΣΒΑ) και, ταυτόχρονα, καταβάλλει προσπάθειες για να ανταποκριθεί καλύτερα σε άλλες γεωπολιτικές εξελίξεις, μεταξύ των οποίων το νέο μεταναστευτικό κύμα.</w:t>
      </w:r>
    </w:p>
    <w:p w:rsidR="00A57BFD" w:rsidRPr="005B0D19" w:rsidRDefault="005B0D19">
      <w:pPr>
        <w:rPr>
          <w:noProof/>
        </w:rPr>
      </w:pPr>
      <w:r w:rsidRPr="005B0D19">
        <w:rPr>
          <w:noProof/>
        </w:rPr>
        <w:t>Όλα αυτά οδήγησαν σε μια δημόσια συζήτηση σχετικά με το κατά πόσο η μεταρρύθμιση του 2013 ήταν αρκετή για να αντιμετωπιστούν οι ευρύτερες προκλήσεις που σχετίζονται με την οικονομική ευημερία του γεωργικού τομέα, τις οικονομικές προοπτικές της γεωργίας και των αγροτικών περιοχών, τη φροντίδα για το περιβάλλον, τη δράση για την κλιματική αλλαγή, καθώς και με την ενίσχυση του κοινωνικού και οικονομικού ιστού στις αγροτικές περιοχές της ΕΕ. Παράλληλα, πρέπει να εξεταστούν περαιτέρω οι νέες ευκαιρίες που παρουσιάζονται στους τομείς του εμπορίου, της βιοοικονομίας, της ανανεώσιμης ενέργειας, καθώς και της κυκλικής και της ψηφιακής οικονομίας.</w:t>
      </w:r>
    </w:p>
    <w:p w:rsidR="00A57BFD" w:rsidRPr="005B0D19" w:rsidRDefault="005B0D19">
      <w:pPr>
        <w:rPr>
          <w:noProof/>
        </w:rPr>
      </w:pPr>
      <w:r w:rsidRPr="005B0D19">
        <w:rPr>
          <w:noProof/>
        </w:rPr>
        <w:t xml:space="preserve">Η ΚΓΠ πρέπει να εκσυγχρονιστεί για την αντιμετώπιση των προκλήσεων, να απλουστευθεί, ώστε να μειωθεί ακόμη περισσότερο ο διοικητικός φόρτος και να καταστεί ακόμη πιο συνεκτική με άλλες πολιτικές της ΕΕ, ώστε να μεγιστοποιηθεί η συμβολή της στις δέκα πολιτικές προτεραιότητες της Επιτροπής και στους Στόχους Βιώσιμης Ανάπτυξης. Πράγματι, όπως υπενθύμισε η Επιτροπή στην πρόσφατη ανακοίνωσή της σχετικά με το ΠΔΠ, μια εκσυγχρονισμένη κοινή γεωργική πολιτική θα πρέπει να στηρίξει τη μετάβαση προς έναν πλήρως βιώσιμο γεωργικό τομέα και την ανάπτυξη δυναμικών αγροτικών περιοχών, παρέχοντας σταθερά ασφαλή τρόφιμα υψηλής ποιότητας για περισσότερους από 500 εκατομμύρια καταναλωτές. Η Ευρώπη χρειάζεται έναν έξυπνο, ανθεκτικό, βιώσιμο και ανταγωνιστικό γεωργικό τομέα, ώστε να διασφαλίζεται η παραγωγή ασφαλών, υψηλής </w:t>
      </w:r>
      <w:r w:rsidRPr="005B0D19">
        <w:rPr>
          <w:noProof/>
        </w:rPr>
        <w:lastRenderedPageBreak/>
        <w:t>ποιότητας, οικονομικά προσιτών, θρεπτικών και ποικίλων τροφίμων για τους πολίτες της, καθώς και ισχυρός κοινωνικοοικονομικός ιστός στις αγροτικές περιοχές. Μια εκσυγχρονισμένη κοινή γεωργική πολιτική πρέπει να ενισχύει την ευρωπαϊκή προστιθέμενη αξία της, με ένα υψηλότερο επίπεδο περιβαλλοντικής και κλιματικής φιλοδοξίας και την ανταπόκριση στις προσδοκίες των πολιτών για την υγεία τους, το περιβάλλον και το κλίμα.</w:t>
      </w:r>
    </w:p>
    <w:p w:rsidR="00A57BFD" w:rsidRPr="005B0D19" w:rsidRDefault="005B0D19">
      <w:pPr>
        <w:rPr>
          <w:noProof/>
        </w:rPr>
      </w:pPr>
      <w:r w:rsidRPr="005B0D19">
        <w:rPr>
          <w:noProof/>
        </w:rPr>
        <w:t xml:space="preserve">Στο πλαίσιο του προγράμματος εργασίας της για το 2017, η Επιτροπή προέβη σε ευρεία διαβούλευση για την απλούστευση και τον εκσυγχρονισμό της ΚΓΠ, ώστε να μεγιστοποιηθεί η συμβολή της πολιτικής αυτής στις δέκα προτεραιότητες της Επιτροπής και στους Στόχους Βιώσιμης Ανάπτυξης. Η διαδικασία αυτή επικεντρώθηκε σε συγκεκριμένες προτεραιότητες πολιτικής για το μέλλον, με την επιφύλαξη των χρηματοδοτικών κονδυλίων για την ΚΓΠ του επόμενου ΠΔΠ. Η διαδικασία περιελάμβανε ευρεία διαβούλευση καθώς και ανάλυση των διαθέσιμων στοιχείων σχετικά με τις επιδόσεις της ΚΓΠ, λαμβανομένης υπόψη της γνωμοδότησης της πλατφόρμας </w:t>
      </w:r>
      <w:r>
        <w:rPr>
          <w:noProof/>
        </w:rPr>
        <w:t>REFIT</w:t>
      </w:r>
      <w:r w:rsidRPr="005B0D19">
        <w:rPr>
          <w:noProof/>
        </w:rPr>
        <w:t>.</w:t>
      </w:r>
    </w:p>
    <w:p w:rsidR="00A57BFD" w:rsidRPr="005B0D19" w:rsidRDefault="005B0D19">
      <w:pPr>
        <w:rPr>
          <w:noProof/>
        </w:rPr>
      </w:pPr>
      <w:r w:rsidRPr="005B0D19">
        <w:rPr>
          <w:noProof/>
        </w:rPr>
        <w:t>Τα αποτελέσματα παρουσιάστηκαν στην Ανακοίνωση που εγκρίθηκε στις 29 Νοεμβρίου 2017 με τίτλο «Το μέλλον των τροφίμων και της γεωργίας».  Η ανακοίνωση παρέχει τη βάση για την έναρξη δοµηµένου διαλόγου σχετικά με τη μελλοντική ΚΓΠ στα θεσμικά όργανα της ΕΕ καθώς και με τα ενδιαφερόμενα μέρη. Στην εν λόγω πολιτική περιγράφονται οι προκλήσεις, οι στόχοι και οι πιθανοί τρόποι εξασφάλισης μιας βιώσιμης μελλοντικά ΚΓΠ που πρέπει να είναι απλούστερη, πιο έξυπνη και εκσυγχρονισμένη και, ως εκ τούτου, να σηματοδοτήσει τη μετάβαση προς μια πιο αειφόρο γεωργία.</w:t>
      </w:r>
    </w:p>
    <w:p w:rsidR="00A57BFD" w:rsidRPr="005B0D19" w:rsidRDefault="005B0D19">
      <w:pPr>
        <w:rPr>
          <w:noProof/>
        </w:rPr>
      </w:pPr>
      <w:r w:rsidRPr="005B0D19">
        <w:rPr>
          <w:noProof/>
        </w:rPr>
        <w:t xml:space="preserve">Ειδικότερα, η Επιτροπή έθεσε το υψηλότερο επίπεδο περιβαλλοντικής και κλιματικής φιλοδοξίας, την καλύτερη στοχοθέτηση της ενίσχυσης και την ισχυρότερη στήριξη του σχεδίου Έρευνας-Καινοτομίας-Συμβουλών ως κορυφαίες προτεραιότητες της ΚΓΠ μετά το 2020. Επίσης, η Επιτροπή πρότεινε ένα νέο μοντέλο υλοποίησης για τη βελτίωση της αποτελεσματικότητας της ΚΓΠ, σύμφωνα με το οποίο μετατοπίζεται το επίκεντρο της πολιτικής από τη συμμόρφωση στην αποτελεσματική εφαρμογή και εξισορροπούνται οι αρμοδιότητες μεταξύ της ΕΕ και του κράτους μέλους με μεγαλύτερη επικουρικότητα. Το νέο μοντέλο στοχεύει στην καλύτερη επίτευξη των στόχων της ΕΕ βάσει στρατηγικού σχεδιασμού, ευρύτερων πολιτικών παρεμβάσεων και κοινών δεικτών απόδοσης, βελτιώνοντας έτσι τη συνοχή της πολιτικής στο πλαίσιο της μελλοντικής ΚΓΠ και με άλλους στόχους της ΕΕ. </w:t>
      </w:r>
    </w:p>
    <w:p w:rsidR="00A57BFD" w:rsidRPr="005B0D19" w:rsidRDefault="005B0D19">
      <w:pPr>
        <w:pStyle w:val="ManualHeading2"/>
        <w:rPr>
          <w:b w:val="0"/>
          <w:noProof/>
          <w:color w:val="000000"/>
          <w:u w:color="000000"/>
          <w:bdr w:val="nil"/>
        </w:rPr>
      </w:pPr>
      <w:r w:rsidRPr="005B0D19">
        <w:rPr>
          <w:noProof/>
          <w:color w:val="000000"/>
          <w:u w:color="000000"/>
          <w:bdr w:val="nil"/>
        </w:rPr>
        <w:t>•</w:t>
      </w:r>
      <w:r w:rsidRPr="005B0D19">
        <w:rPr>
          <w:noProof/>
        </w:rPr>
        <w:tab/>
      </w:r>
      <w:r w:rsidRPr="005B0D19">
        <w:rPr>
          <w:noProof/>
          <w:color w:val="000000"/>
          <w:u w:color="000000"/>
          <w:bdr w:val="nil"/>
        </w:rPr>
        <w:t>Συνέπεια</w:t>
      </w:r>
      <w:r w:rsidRPr="005B0D19">
        <w:rPr>
          <w:noProof/>
        </w:rPr>
        <w:t xml:space="preserve"> με τις ισχύουσες διατάξεις στον τομέα πολιτικής</w:t>
      </w:r>
    </w:p>
    <w:p w:rsidR="00A57BFD" w:rsidRPr="005B0D19" w:rsidRDefault="005B0D19">
      <w:pPr>
        <w:spacing w:before="0" w:after="0"/>
        <w:jc w:val="left"/>
        <w:rPr>
          <w:noProof/>
        </w:rPr>
      </w:pPr>
      <w:r w:rsidRPr="005B0D19">
        <w:rPr>
          <w:noProof/>
        </w:rPr>
        <w:t xml:space="preserve">Στόχοι της Κοινής Γεωργικής Πολιτικής (ΚΓΠ), όπως ορίζονται στο άρθρο 39 παράγραφος της Συνθήκης για τη λειτουργία της Ευρωπαϊκής Ένωσης (ΣΛΕΕ), είναι: </w:t>
      </w:r>
    </w:p>
    <w:p w:rsidR="00A57BFD" w:rsidRPr="005B0D19" w:rsidRDefault="005B0D19">
      <w:pPr>
        <w:pStyle w:val="ListBullet1"/>
        <w:rPr>
          <w:noProof/>
        </w:rPr>
      </w:pPr>
      <w:r w:rsidRPr="005B0D19">
        <w:rPr>
          <w:noProof/>
        </w:rPr>
        <w:t>να αυξάνει την παραγωγικότητα της γεωργίας με την ανάπτυξη της τεχνικής προόδου, με την εξασφάλιση της ορθολογικής αναπτύξεως της γεωργικής παραγωγής, καθώς και της αρίστης χρησιμοποιήσεως των συντελεστών παραγωγής, ιδίως του εργατικού δυναμικού,</w:t>
      </w:r>
    </w:p>
    <w:p w:rsidR="00A57BFD" w:rsidRPr="005B0D19" w:rsidRDefault="005B0D19">
      <w:pPr>
        <w:pStyle w:val="ListBullet1"/>
        <w:rPr>
          <w:noProof/>
        </w:rPr>
      </w:pPr>
      <w:r w:rsidRPr="005B0D19">
        <w:rPr>
          <w:noProof/>
        </w:rPr>
        <w:t>να εξασφαλίζει κατ’ αυτό τον τρόπο ένα δίκαιο βιοτικό επίπεδο στο γεωργικό πληθυσμό, ιδίως με την αύξηση του ατομικού εισοδήματος των εργαζομένων στη γεωργία,</w:t>
      </w:r>
    </w:p>
    <w:p w:rsidR="00A57BFD" w:rsidRDefault="005B0D19">
      <w:pPr>
        <w:pStyle w:val="ListBullet1"/>
        <w:rPr>
          <w:noProof/>
        </w:rPr>
      </w:pPr>
      <w:r>
        <w:rPr>
          <w:noProof/>
        </w:rPr>
        <w:t>να σταθεροποιεί τις αγορές,</w:t>
      </w:r>
    </w:p>
    <w:p w:rsidR="00A57BFD" w:rsidRDefault="005B0D19">
      <w:pPr>
        <w:pStyle w:val="ListBullet1"/>
        <w:rPr>
          <w:noProof/>
        </w:rPr>
      </w:pPr>
      <w:r>
        <w:rPr>
          <w:noProof/>
        </w:rPr>
        <w:t>να εξασφαλίζει τον εφοδιασμό,</w:t>
      </w:r>
    </w:p>
    <w:p w:rsidR="00A57BFD" w:rsidRPr="005B0D19" w:rsidRDefault="005B0D19">
      <w:pPr>
        <w:pStyle w:val="ListBullet1"/>
        <w:rPr>
          <w:noProof/>
        </w:rPr>
      </w:pPr>
      <w:r w:rsidRPr="005B0D19">
        <w:rPr>
          <w:noProof/>
        </w:rPr>
        <w:t>να διασφαλίζει λογικές τιμές κατά την προσφορά αγαθών στους καταναλωτές.</w:t>
      </w:r>
    </w:p>
    <w:p w:rsidR="00A57BFD" w:rsidRPr="005B0D19" w:rsidRDefault="005B0D19">
      <w:pPr>
        <w:spacing w:before="100" w:beforeAutospacing="1" w:after="100" w:afterAutospacing="1"/>
        <w:jc w:val="left"/>
        <w:rPr>
          <w:noProof/>
        </w:rPr>
      </w:pPr>
      <w:r w:rsidRPr="005B0D19">
        <w:rPr>
          <w:noProof/>
        </w:rPr>
        <w:lastRenderedPageBreak/>
        <w:t xml:space="preserve">Η παρούσα πρόταση ανταποκρίνεται πλήρως στους στόχους της Συνθήκης για την ΚΓΠ. Εκσυγχρονίζει και απλοποιεί τον τρόπο εφαρμογής των διατάξεων της Συνθήκης.  </w:t>
      </w:r>
    </w:p>
    <w:p w:rsidR="00A57BFD" w:rsidRPr="005B0D19" w:rsidRDefault="005B0D19">
      <w:pPr>
        <w:pStyle w:val="ManualHeading2"/>
        <w:rPr>
          <w:b w:val="0"/>
          <w:noProof/>
        </w:rPr>
      </w:pPr>
      <w:r w:rsidRPr="005B0D19">
        <w:rPr>
          <w:noProof/>
          <w:color w:val="000000"/>
          <w:u w:color="000000"/>
          <w:bdr w:val="nil"/>
        </w:rPr>
        <w:t>•</w:t>
      </w:r>
      <w:r w:rsidRPr="005B0D19">
        <w:rPr>
          <w:noProof/>
        </w:rPr>
        <w:tab/>
        <w:t>Συνέπεια με άλλες πολιτικές της Ένωσης</w:t>
      </w:r>
    </w:p>
    <w:p w:rsidR="00A57BFD" w:rsidRPr="005B0D19" w:rsidRDefault="005B0D19">
      <w:pPr>
        <w:pBdr>
          <w:top w:val="nil"/>
          <w:left w:val="nil"/>
          <w:bottom w:val="nil"/>
          <w:right w:val="nil"/>
          <w:between w:val="nil"/>
          <w:bar w:val="nil"/>
        </w:pBdr>
        <w:spacing w:before="0" w:after="240"/>
        <w:rPr>
          <w:noProof/>
        </w:rPr>
      </w:pPr>
      <w:r w:rsidRPr="005B0D19">
        <w:rPr>
          <w:noProof/>
        </w:rPr>
        <w:t xml:space="preserve">Η γεωργία και η δασοκομία καλύπτουν το 84% της επικράτειας της ΕΕ. Οι τομείς αυτοί εξαρτώνται από το περιβάλλον και ταυτόχρονα το επηρεάζουν. Ως εκ τούτου, ορισμένοι από τους προτεινόμενους ειδικούς στόχους της ΚΓΠ θα ενεργοποιήσουν τη δράση για το κλίμα και το περιβάλλον σύμφωνα με τις αντίστοιχες πολιτικές της ΕΕ. </w:t>
      </w:r>
    </w:p>
    <w:p w:rsidR="00A57BFD" w:rsidRPr="005B0D19" w:rsidRDefault="005B0D19">
      <w:pPr>
        <w:pBdr>
          <w:top w:val="nil"/>
          <w:left w:val="nil"/>
          <w:bottom w:val="nil"/>
          <w:right w:val="nil"/>
          <w:between w:val="nil"/>
          <w:bar w:val="nil"/>
        </w:pBdr>
        <w:spacing w:before="0" w:after="240"/>
        <w:rPr>
          <w:noProof/>
        </w:rPr>
      </w:pPr>
      <w:r w:rsidRPr="005B0D19">
        <w:rPr>
          <w:noProof/>
        </w:rPr>
        <w:t>Είναι γνωστό ότι τα καταναλωτικά πρότυπα επηρεάζουν τη δημόσια υγεία. Μέσω της σύνδεσης με τα τρόφιμα και μερικές φορές και με τον τρόπο παραγωγής των τροφίμων, οι γεωργικές πολιτικές συνδέονται με τις πολιτικές για την υγεία. Οι προτάσεις ενισχύουν τη σύνδεση με την πολιτική για την υγεία, ιδίως όσον αφορά την υγιεινή διατροφή και τη μείωση της χρήσης μικροβιακών ουσιών.</w:t>
      </w:r>
    </w:p>
    <w:p w:rsidR="00A57BFD" w:rsidRPr="005B0D19" w:rsidRDefault="005B0D19">
      <w:pPr>
        <w:pBdr>
          <w:top w:val="nil"/>
          <w:left w:val="nil"/>
          <w:bottom w:val="nil"/>
          <w:right w:val="nil"/>
          <w:between w:val="nil"/>
          <w:bar w:val="nil"/>
        </w:pBdr>
        <w:spacing w:before="0" w:after="240"/>
        <w:rPr>
          <w:noProof/>
        </w:rPr>
      </w:pPr>
      <w:r w:rsidRPr="005B0D19">
        <w:rPr>
          <w:noProof/>
        </w:rPr>
        <w:t>Η ΕΕ εισάγει μεγάλες ποσότητες βασικών προϊόντων και εξάγει γεωργικά προϊόντα και είδη διατροφής μεγάλης αξίας. Ως εκ τούτου, επηρεάζει σε μεγάλο βαθμό τα συστήματα τροφίμων εκτός της ΕΕ. Στην πρόταση, η οποία είναι σύμφωνη με το άρθρο 208 της ΣΛΕΕ, έχουν ληφθεί υπόψη οι στόχοι αναπτυξιακής συνεργασίας της ΕΕ για την εξάλειψη της φτώχειας και τη βιώσιμη ανάπτυξη στις αναπτυσσόμενες χώρες, διασφαλίζοντας ιδίως ότι η στήριξη της ΕΕ στους γεωργούς έχει ελάχιστες - αν όχι καθόλου - επιπτώσεις στο εμπόριο.</w:t>
      </w:r>
    </w:p>
    <w:p w:rsidR="00A57BFD" w:rsidRPr="005B0D19" w:rsidRDefault="005B0D19">
      <w:pPr>
        <w:pBdr>
          <w:top w:val="nil"/>
          <w:left w:val="nil"/>
          <w:bottom w:val="nil"/>
          <w:right w:val="nil"/>
          <w:between w:val="nil"/>
          <w:bar w:val="nil"/>
        </w:pBdr>
        <w:spacing w:before="0" w:after="240"/>
        <w:rPr>
          <w:noProof/>
        </w:rPr>
      </w:pPr>
      <w:r w:rsidRPr="005B0D19">
        <w:rPr>
          <w:noProof/>
        </w:rPr>
        <w:t>Τέλος, όπως συμβαίνει και σε άλλους τομείς, η γεωργία και οι αγροτικές περιοχές μπορούν να επωφεληθούν από τη νέα τεχνολογία και τεχνογνωσία, και ιδίως από τις ψηφιακές τεχνολογίες. Οι προτάσεις ενισχύουν τη σύνδεση με την πολιτική έρευνας θέτοντας την οργάνωση της ανταλλαγής γνώσεων στο επίκεντρο του μοντέλου λειτουργίας της πολιτικής. Ομοίως, η έμφαση που δίνεται στην ψηφιοποίηση επιτρέπει τη σύνδεση με το ψηφιακό θεματολόγιο της ΕΕ.</w:t>
      </w:r>
    </w:p>
    <w:p w:rsidR="00A57BFD" w:rsidRPr="005B0D19" w:rsidRDefault="005B0D19">
      <w:pPr>
        <w:pStyle w:val="ManualHeading1"/>
        <w:rPr>
          <w:b w:val="0"/>
          <w:smallCaps w:val="0"/>
          <w:noProof/>
        </w:rPr>
      </w:pPr>
      <w:r w:rsidRPr="005B0D19">
        <w:rPr>
          <w:noProof/>
        </w:rPr>
        <w:t>2.</w:t>
      </w:r>
      <w:r w:rsidRPr="005B0D19">
        <w:rPr>
          <w:noProof/>
        </w:rPr>
        <w:tab/>
        <w:t>ΝΟΜΙΚΗ ΒΑΣΗ, ΕΠΙΚΟΥΡΙΚΟΤΗΤΑ ΚΑΙ ΑΝΑΛΟΓΙΚΟΤΗΤΑ</w:t>
      </w:r>
    </w:p>
    <w:p w:rsidR="00A57BFD" w:rsidRPr="005B0D19" w:rsidRDefault="005B0D19">
      <w:pPr>
        <w:pStyle w:val="ManualHeading2"/>
        <w:rPr>
          <w:b w:val="0"/>
          <w:noProof/>
          <w:u w:color="000000"/>
          <w:bdr w:val="nil"/>
        </w:rPr>
      </w:pPr>
      <w:r w:rsidRPr="005B0D19">
        <w:rPr>
          <w:noProof/>
        </w:rPr>
        <w:t>•</w:t>
      </w:r>
      <w:r w:rsidRPr="005B0D19">
        <w:rPr>
          <w:noProof/>
        </w:rPr>
        <w:tab/>
      </w:r>
      <w:r w:rsidRPr="005B0D19">
        <w:rPr>
          <w:noProof/>
          <w:color w:val="000000"/>
          <w:u w:color="000000"/>
          <w:bdr w:val="nil"/>
        </w:rPr>
        <w:t>Νομική</w:t>
      </w:r>
      <w:r w:rsidRPr="005B0D19">
        <w:rPr>
          <w:noProof/>
        </w:rPr>
        <w:t xml:space="preserve"> βάση</w:t>
      </w:r>
    </w:p>
    <w:p w:rsidR="00A57BFD" w:rsidRPr="005B0D19" w:rsidRDefault="005B0D19">
      <w:pPr>
        <w:keepNext/>
        <w:tabs>
          <w:tab w:val="left" w:pos="0"/>
        </w:tabs>
        <w:outlineLvl w:val="1"/>
        <w:rPr>
          <w:noProof/>
          <w:u w:color="000000"/>
          <w:bdr w:val="nil"/>
        </w:rPr>
      </w:pPr>
      <w:r w:rsidRPr="005B0D19">
        <w:rPr>
          <w:noProof/>
        </w:rPr>
        <w:t>Άρθρα 42 και 43 παράγραφος 2 της ΣΛΕΕ όσον αφορά τον κανονισμό για το στρατηγικό σχέδιο της ΚΓΠ.</w:t>
      </w:r>
    </w:p>
    <w:p w:rsidR="00A57BFD" w:rsidRPr="005B0D19" w:rsidRDefault="00A57BFD">
      <w:pPr>
        <w:rPr>
          <w:noProof/>
        </w:rPr>
      </w:pPr>
    </w:p>
    <w:p w:rsidR="00A57BFD" w:rsidRPr="005B0D19" w:rsidRDefault="005B0D19">
      <w:pPr>
        <w:pStyle w:val="ManualHeading2"/>
        <w:rPr>
          <w:b w:val="0"/>
          <w:noProof/>
          <w:u w:color="000000"/>
          <w:bdr w:val="nil"/>
        </w:rPr>
      </w:pPr>
      <w:r w:rsidRPr="005B0D19">
        <w:rPr>
          <w:noProof/>
        </w:rPr>
        <w:t>•</w:t>
      </w:r>
      <w:r w:rsidRPr="005B0D19">
        <w:rPr>
          <w:noProof/>
        </w:rPr>
        <w:tab/>
      </w:r>
      <w:r w:rsidRPr="005B0D19">
        <w:rPr>
          <w:noProof/>
          <w:color w:val="000000"/>
          <w:u w:color="000000"/>
          <w:bdr w:val="nil"/>
        </w:rPr>
        <w:t>Επικουρικότητα</w:t>
      </w:r>
      <w:r w:rsidRPr="005B0D19">
        <w:rPr>
          <w:noProof/>
        </w:rPr>
        <w:t xml:space="preserve"> (σε περίπτωση μη αποκλειστικής αρμοδιότητας) </w:t>
      </w:r>
    </w:p>
    <w:p w:rsidR="00A57BFD" w:rsidRPr="005B0D19" w:rsidRDefault="005B0D19">
      <w:pPr>
        <w:keepLines/>
        <w:spacing w:before="0" w:after="240"/>
        <w:rPr>
          <w:noProof/>
        </w:rPr>
      </w:pPr>
      <w:r w:rsidRPr="005B0D19">
        <w:rPr>
          <w:noProof/>
        </w:rPr>
        <w:t xml:space="preserve">Η Συνθήκη για τη λειτουργία της Ευρωπαϊκής Ένωσης προβλέπει ότι η γεωργία αποτελεί τομέα συντρέχουσας αρμοδιότητας της Ένωσης και των κρατών μελών, ενώ παράλληλα θεσπίζει μια κοινή γεωργική πολιτική με κοινούς στόχους και κοινή εφαρμογή. Το τρέχον σύστημα υλοποίησης της ΚΓΠ στηρίζεται σε λεπτομερείς απαιτήσεις σε επίπεδο ΕΕ και περιλαμβάνει αυστηρούς ελέγχους, κυρώσεις και ρυθμίσεις λογιστικού ελέγχου. Οι κανόνες αυτοί είναι συχνά πολύ περιοριστικοί, έως και σε επίπεδο γεωργικής εκμετάλλευσης. Στην Ένωση, ωστόσο, με την ιδιαίτερη διαφοροποίηση της γεωργίας και του φυσικού περιβάλλοντος, ούτε οι λύσεις εκ των άνω προς τα κάτω ούτε οι λύσεις ενιαίου τύπου ενδείκνυνται για την επίτευξη των επιθυμητών αποτελεσμάτων και της προστιθέμενης αξία για την ΕΕ. </w:t>
      </w:r>
    </w:p>
    <w:p w:rsidR="00A57BFD" w:rsidRPr="005B0D19" w:rsidRDefault="005B0D19">
      <w:pPr>
        <w:keepLines/>
        <w:spacing w:before="0" w:after="240"/>
        <w:rPr>
          <w:noProof/>
        </w:rPr>
      </w:pPr>
      <w:r w:rsidRPr="005B0D19">
        <w:rPr>
          <w:noProof/>
        </w:rPr>
        <w:lastRenderedPageBreak/>
        <w:t xml:space="preserve">Στο μοντέλο υλοποίησης της παρούσας πρότασης, η Ένωση θα πρέπει να ορίσει τις βασικές παραμέτρους πολιτικής (στόχοι της ΚΓΠ, γενικοί τύποι παρέμβασης, βασικές απαιτήσεις), ενώ τα κράτη μέλη θα πρέπει να αναλάβουν μεγαλύτερη ευθύνη και να επιδείξουν μεγαλύτερη λογοδοσία όσον αφορά τον τρόπο με τον οποίο επιτυγχάνουν τους συμφωνηθέντες στόχους. </w:t>
      </w:r>
    </w:p>
    <w:p w:rsidR="00A57BFD" w:rsidRPr="005B0D19" w:rsidRDefault="005B0D19">
      <w:pPr>
        <w:keepLines/>
        <w:spacing w:before="0" w:after="240"/>
        <w:rPr>
          <w:noProof/>
        </w:rPr>
      </w:pPr>
      <w:r w:rsidRPr="005B0D19">
        <w:rPr>
          <w:noProof/>
        </w:rPr>
        <w:t xml:space="preserve">Η μεγαλύτερη επικουρικότητα θα επιτρέψει να ληφθούν καλύτερα υπόψη οι τοπικές συνθήκες και ανάγκες έναντι των εν λόγω στόχων. Τα κράτη μέλη θα είναι αρμόδια για την προσαρμογή των παρεμβάσεων της ΚΓΠ προκειμένου να μεγιστοποιηθεί η συμβολή τους στην επίτευξη στόχων της ΕΕ. Παράλληλα με η διατήρηση των σημερινών δομών διακυβέρνησης - που πρέπει να εξακολουθήσουν να διασφαλίζουν αποτελεσματική παρακολούθηση και έλεγχο της επίτευξης όλων των στόχων πολιτικής - τα κράτη μέλη θα έχουν μεγαλύτερο λόγο στο σχεδιασμό του πλαισίου συμμόρφωσης και ελέγχου που ισχύει για τους δικαιούχους (συμπεριλαμβανομένων ελέγχων και κυρώσεων). </w:t>
      </w:r>
    </w:p>
    <w:p w:rsidR="00A57BFD" w:rsidRPr="005B0D19" w:rsidRDefault="005B0D19">
      <w:pPr>
        <w:pStyle w:val="ManualHeading2"/>
        <w:rPr>
          <w:b w:val="0"/>
          <w:noProof/>
          <w:u w:color="000000"/>
          <w:bdr w:val="nil"/>
        </w:rPr>
      </w:pPr>
      <w:r w:rsidRPr="005B0D19">
        <w:rPr>
          <w:noProof/>
        </w:rPr>
        <w:t>•</w:t>
      </w:r>
      <w:r w:rsidRPr="005B0D19">
        <w:rPr>
          <w:noProof/>
        </w:rPr>
        <w:tab/>
      </w:r>
      <w:r w:rsidRPr="005B0D19">
        <w:rPr>
          <w:noProof/>
          <w:color w:val="000000"/>
          <w:u w:color="000000"/>
          <w:bdr w:val="nil"/>
        </w:rPr>
        <w:t>Αναλογικότητα</w:t>
      </w:r>
    </w:p>
    <w:p w:rsidR="00A57BFD" w:rsidRPr="005B0D19" w:rsidRDefault="005B0D19">
      <w:pPr>
        <w:spacing w:before="0" w:after="200"/>
        <w:rPr>
          <w:noProof/>
        </w:rPr>
      </w:pPr>
      <w:r w:rsidRPr="005B0D19">
        <w:rPr>
          <w:noProof/>
        </w:rPr>
        <w:t>Οι οικονομικές, περιβαλλοντικές και κοινωνικές προκλήσεις που αντιμετωπίζει ο γεωργικός τομέας της ΕΕ και οι αγροτικές περιοχές απαιτούν ουσιαστική απόκριση που θα ανταποκρίνεται στην ευρωπαϊκή διάσταση αυτών των προκλήσεων. Η μεγαλύτερη δυνατότητα επιλογής και προσαρμογής των διαθέσιμων εργαλείων πολιτικής από τα κράτη μέλη στο πλαίσιο της ΚΓΠ για την επίτευξη των στόχων, σε ένα μοντέλο που βασίζεται περισσότερο στα αποτελέσματα, προβλέπει ότι η δράση της ΚΓΠ δεν θα υπερβαίνει τα απαιτούμενα για την επίτευξη των στόχων επίπεδα.</w:t>
      </w:r>
    </w:p>
    <w:p w:rsidR="00A57BFD" w:rsidRPr="005B0D19" w:rsidRDefault="005B0D19">
      <w:pPr>
        <w:pStyle w:val="ManualHeading2"/>
        <w:rPr>
          <w:b w:val="0"/>
          <w:noProof/>
          <w:u w:color="000000"/>
          <w:bdr w:val="nil"/>
        </w:rPr>
      </w:pPr>
      <w:r w:rsidRPr="005B0D19">
        <w:rPr>
          <w:noProof/>
        </w:rPr>
        <w:t>•</w:t>
      </w:r>
      <w:r w:rsidRPr="005B0D19">
        <w:rPr>
          <w:noProof/>
        </w:rPr>
        <w:tab/>
      </w:r>
      <w:r w:rsidRPr="005B0D19">
        <w:rPr>
          <w:noProof/>
          <w:color w:val="000000"/>
          <w:u w:color="000000"/>
          <w:bdr w:val="nil"/>
        </w:rPr>
        <w:t>Επιλογή</w:t>
      </w:r>
      <w:r w:rsidRPr="005B0D19">
        <w:rPr>
          <w:noProof/>
        </w:rPr>
        <w:t xml:space="preserve"> της νομικής πράξης</w:t>
      </w:r>
    </w:p>
    <w:p w:rsidR="00A57BFD" w:rsidRPr="005B0D19" w:rsidRDefault="005B0D19">
      <w:pPr>
        <w:pBdr>
          <w:top w:val="nil"/>
          <w:left w:val="nil"/>
          <w:bottom w:val="nil"/>
          <w:right w:val="nil"/>
          <w:between w:val="nil"/>
          <w:bar w:val="nil"/>
        </w:pBdr>
        <w:spacing w:before="0" w:after="240"/>
        <w:rPr>
          <w:noProof/>
        </w:rPr>
      </w:pPr>
      <w:r w:rsidRPr="005B0D19">
        <w:rPr>
          <w:noProof/>
        </w:rPr>
        <w:t xml:space="preserve">Οι τροποποιήσεις πρέπει να εισαχθούν με κανονισμό του Ευρωπαϊκού Κοινοβουλίου και του Συμβουλίου, δεδομένου ότι όλες οι αρχικές πράξεις είναι κανονισμοί του Ευρωπαϊκού Κοινοβουλίου και του Συμβουλίου. </w:t>
      </w:r>
    </w:p>
    <w:p w:rsidR="00A57BFD" w:rsidRPr="005B0D19" w:rsidRDefault="005B0D19">
      <w:pPr>
        <w:pStyle w:val="ManualHeading1"/>
        <w:rPr>
          <w:b w:val="0"/>
          <w:smallCaps w:val="0"/>
          <w:noProof/>
        </w:rPr>
      </w:pPr>
      <w:r w:rsidRPr="005B0D19">
        <w:rPr>
          <w:noProof/>
        </w:rPr>
        <w:t>3.</w:t>
      </w:r>
      <w:r w:rsidRPr="005B0D19">
        <w:rPr>
          <w:noProof/>
        </w:rPr>
        <w:tab/>
        <w:t>ΑΠΟΤΕΛΕΣΜΑΤΑ ΤΩΝ ΕΚ ΤΩΝ ΥΣΤΕΡΩΝ ΑΞΙΟΛΟΓΗΣΕΩΝ, ΤΩΝ ΔΙΑΒΟΥΛΕΥΣΕΩΝ ΜΕ ΤΑ ΕΝΔΙΑΦΕΡΟΜΕΝΑ ΜΕΡΗ ΚΑΙ ΤΩΝ ΕΚΤΙΜΗΣΕΩΝ ΕΠΙΠΤΩΣΕΩΝ</w:t>
      </w:r>
    </w:p>
    <w:p w:rsidR="00A57BFD" w:rsidRPr="005B0D19" w:rsidRDefault="005B0D19">
      <w:pPr>
        <w:pStyle w:val="ManualHeading2"/>
        <w:rPr>
          <w:b w:val="0"/>
          <w:noProof/>
          <w:u w:color="000000"/>
          <w:bdr w:val="nil"/>
        </w:rPr>
      </w:pPr>
      <w:r w:rsidRPr="005B0D19">
        <w:rPr>
          <w:noProof/>
        </w:rPr>
        <w:t>•</w:t>
      </w:r>
      <w:r w:rsidRPr="005B0D19">
        <w:rPr>
          <w:noProof/>
        </w:rPr>
        <w:tab/>
        <w:t xml:space="preserve">Εκ των υστέρων </w:t>
      </w:r>
      <w:r w:rsidRPr="005B0D19">
        <w:rPr>
          <w:noProof/>
          <w:color w:val="000000"/>
          <w:u w:color="000000"/>
          <w:bdr w:val="nil"/>
        </w:rPr>
        <w:t>αξιολογήσεις</w:t>
      </w:r>
      <w:r w:rsidRPr="005B0D19">
        <w:rPr>
          <w:noProof/>
        </w:rPr>
        <w:t xml:space="preserve"> / έλεγχοι καταλληλότητας της ισχύουσας νομοθεσίας</w:t>
      </w:r>
    </w:p>
    <w:p w:rsidR="00A57BFD" w:rsidRPr="005B0D19" w:rsidRDefault="005B0D19">
      <w:pPr>
        <w:spacing w:before="0"/>
        <w:rPr>
          <w:noProof/>
        </w:rPr>
      </w:pPr>
      <w:r w:rsidRPr="005B0D19">
        <w:rPr>
          <w:noProof/>
        </w:rPr>
        <w:t xml:space="preserve">Η ΚΓΠ έχει βαθιά τις ρίζες της στην οικοδόμηση και στην ανάπτυξη της Ευρωπαϊκής Ένωσης (ΕΕ). Θεσπίστηκε στις αρχές δεκαετίας του εξήντα γύρω από τους στόχους που κατοχυρώνονται στη Συνθήκη. Έκτοτε έχει υποστεί πολλές και συνεχείς μεταρρυθμίσεις προκειμένου να βελτιώσει την ανταγωνιστικότητα του γεωργικού τομέα, να ενθαρρύνει την ανάπτυξη της υπαίθρου, να αντιμετωπίσει τις νέες προκλήσεις και να αντεπεξέλθει αποτελεσματικότερα σε κοινωνικές απαιτήσεις. Η τελευταία σημαντική μεταρρύθμιση εγκρίθηκε το 2013. Στη </w:t>
      </w:r>
      <w:r w:rsidRPr="005B0D19">
        <w:rPr>
          <w:b/>
          <w:noProof/>
        </w:rPr>
        <w:t xml:space="preserve">μεταρρύθμιση του 2013 </w:t>
      </w:r>
      <w:r w:rsidRPr="005B0D19">
        <w:rPr>
          <w:noProof/>
        </w:rPr>
        <w:t xml:space="preserve">οι </w:t>
      </w:r>
      <w:r w:rsidRPr="005B0D19">
        <w:rPr>
          <w:b/>
          <w:noProof/>
        </w:rPr>
        <w:t>γενικοί στόχοι της ΚΓΠ επικεντρώθηκαν</w:t>
      </w:r>
      <w:r w:rsidRPr="005B0D19">
        <w:rPr>
          <w:noProof/>
        </w:rPr>
        <w:t>γύρω από τρεις άξονες:</w:t>
      </w:r>
    </w:p>
    <w:p w:rsidR="00A57BFD" w:rsidRPr="005B0D19" w:rsidRDefault="005B0D19">
      <w:pPr>
        <w:ind w:firstLine="720"/>
        <w:rPr>
          <w:noProof/>
        </w:rPr>
      </w:pPr>
      <w:r>
        <w:rPr>
          <w:noProof/>
        </w:rPr>
        <w:t>i</w:t>
      </w:r>
      <w:r w:rsidRPr="005B0D19">
        <w:rPr>
          <w:noProof/>
        </w:rPr>
        <w:t>.</w:t>
      </w:r>
      <w:r w:rsidRPr="005B0D19">
        <w:rPr>
          <w:noProof/>
        </w:rPr>
        <w:tab/>
        <w:t>Βιώσιμη παραγωγή τροφίμων</w:t>
      </w:r>
    </w:p>
    <w:p w:rsidR="00A57BFD" w:rsidRPr="005B0D19" w:rsidRDefault="005B0D19">
      <w:pPr>
        <w:ind w:firstLine="720"/>
        <w:rPr>
          <w:noProof/>
        </w:rPr>
      </w:pPr>
      <w:r>
        <w:rPr>
          <w:noProof/>
        </w:rPr>
        <w:t>ii</w:t>
      </w:r>
      <w:r w:rsidRPr="005B0D19">
        <w:rPr>
          <w:noProof/>
        </w:rPr>
        <w:t>.</w:t>
      </w:r>
      <w:r w:rsidRPr="005B0D19">
        <w:rPr>
          <w:noProof/>
        </w:rPr>
        <w:tab/>
        <w:t>Βιώσιμη διαχείριση των φυσικών πόρων και δράση για την κλιματική αλλαγή</w:t>
      </w:r>
    </w:p>
    <w:p w:rsidR="00A57BFD" w:rsidRPr="005B0D19" w:rsidRDefault="005B0D19">
      <w:pPr>
        <w:ind w:firstLine="720"/>
        <w:rPr>
          <w:noProof/>
        </w:rPr>
      </w:pPr>
      <w:r>
        <w:rPr>
          <w:noProof/>
        </w:rPr>
        <w:t>iii</w:t>
      </w:r>
      <w:r w:rsidRPr="005B0D19">
        <w:rPr>
          <w:noProof/>
        </w:rPr>
        <w:tab/>
        <w:t>Ισορροπημένη εδαφική ανάπτυξη</w:t>
      </w:r>
    </w:p>
    <w:p w:rsidR="00A57BFD" w:rsidRDefault="005B0D19">
      <w:pPr>
        <w:spacing w:before="0"/>
        <w:rPr>
          <w:noProof/>
        </w:rPr>
      </w:pPr>
      <w:r w:rsidRPr="005B0D19">
        <w:rPr>
          <w:noProof/>
        </w:rPr>
        <w:t xml:space="preserve">Μια ευρεία διαδικασία διαβούλευσης ενθάρρυνε τη δομημένη συζήτηση με όλα τα ενδιαφερόμενα μέρη, συμπεριλαμβανομένων των μη γεωργικών φορέων, για την αξιολόγηση </w:t>
      </w:r>
      <w:r w:rsidRPr="005B0D19">
        <w:rPr>
          <w:noProof/>
        </w:rPr>
        <w:lastRenderedPageBreak/>
        <w:t xml:space="preserve">της προόδου ως προς την επίτευξη των ανωτέρω στόχων και για τον προσδιορισμό των μελλοντικών προκλήσεων. Επιπλέον, συγκεντρώθηκαν στοιχεία για τις επιδόσεις της ΚΓΠ από πληθώρα διαθέσιμων πληροφοριών σχετικά με αυτή (συνοψίζονται συνοπτικά στο Πλαίσιο 1 κατωτέρω), τα οποία χρησιμοποιήθηκαν ως βάση για την αξιολόγηση των επιτευγμάτων και των ελλείψεων της ΚΓΠ στην πάροδο των ετών αλλά κυρίως όσον αφορά στην πιο πρόσφατη μεταρρύθμισή της. </w:t>
      </w:r>
      <w:r>
        <w:rPr>
          <w:noProof/>
        </w:rPr>
        <w:t>Συγκεκριμένα, πρόκειται για τα ακόλουθα στοιχεία:</w:t>
      </w:r>
    </w:p>
    <w:p w:rsidR="00A57BFD" w:rsidRPr="005B0D19" w:rsidRDefault="005B0D19">
      <w:pPr>
        <w:pStyle w:val="ListBullet1"/>
        <w:rPr>
          <w:noProof/>
        </w:rPr>
      </w:pPr>
      <w:r w:rsidRPr="005B0D19">
        <w:rPr>
          <w:noProof/>
        </w:rPr>
        <w:t>στοιχεία που συγκεντρώθηκαν μέσω του κοινού πλαισίου παρακολούθησης και αξιολόγησης με στόχο τη μέτρηση της απόδοσης της ΚΓΠ</w:t>
      </w:r>
      <w:r>
        <w:rPr>
          <w:rStyle w:val="af7"/>
          <w:noProof/>
        </w:rPr>
        <w:footnoteReference w:id="3"/>
      </w:r>
      <w:r w:rsidRPr="005B0D19">
        <w:rPr>
          <w:noProof/>
        </w:rPr>
        <w:t>.</w:t>
      </w:r>
    </w:p>
    <w:p w:rsidR="00A57BFD" w:rsidRDefault="005B0D19">
      <w:pPr>
        <w:pStyle w:val="ListBullet1"/>
        <w:rPr>
          <w:noProof/>
        </w:rPr>
      </w:pPr>
      <w:r w:rsidRPr="005B0D19">
        <w:rPr>
          <w:noProof/>
        </w:rPr>
        <w:t xml:space="preserve">Έχει προγραμματιστεί η εκπόνηση μιας σειράς μελετών αξιολόγησης για το τρέχον πολυετές δημοσιονομικό πλαίσιο (2014-2020) προκειμένου να αξιολογηθούν οι τρέχοντες στόχοι της ΚΓΠ. </w:t>
      </w:r>
      <w:r>
        <w:rPr>
          <w:noProof/>
        </w:rPr>
        <w:t>Τα πρώτα ευρήματα θα είναι διαθέσιμα τη χρονική περίοδο 2017/18</w:t>
      </w:r>
      <w:r>
        <w:rPr>
          <w:rStyle w:val="af7"/>
          <w:noProof/>
        </w:rPr>
        <w:footnoteReference w:id="4"/>
      </w:r>
      <w:r>
        <w:rPr>
          <w:noProof/>
        </w:rPr>
        <w:t>.</w:t>
      </w:r>
    </w:p>
    <w:p w:rsidR="00A57BFD" w:rsidRPr="005B0D19" w:rsidRDefault="005B0D19">
      <w:pPr>
        <w:pStyle w:val="Text2"/>
        <w:rPr>
          <w:noProof/>
        </w:rPr>
      </w:pPr>
      <w:r w:rsidRPr="005B0D19">
        <w:rPr>
          <w:noProof/>
        </w:rPr>
        <w:t>Αποτελέσματα σχετικά με την πρόοδο των στόχων και με τα αντίστοιχα διαθέσιμα κονδύλια στις ετήσιες εκθέσεις υλοποίησης του Προγράμματος Αγροτικής Ανάπτυξης.</w:t>
      </w:r>
    </w:p>
    <w:p w:rsidR="00A57BFD" w:rsidRPr="005B0D19" w:rsidRDefault="005B0D19">
      <w:pPr>
        <w:pStyle w:val="ListBullet1"/>
        <w:rPr>
          <w:noProof/>
        </w:rPr>
      </w:pPr>
      <w:r w:rsidRPr="005B0D19">
        <w:rPr>
          <w:noProof/>
        </w:rPr>
        <w:t xml:space="preserve">Πρόσθετα έγγραφα αναφοράς, δεδομένα, γεγονότα και αριθμητικά στοιχεία σχετικά με την εκτίμηση επιπτώσεων έχουν δημοσιευτεί στον δικτυακό τόπο της ΓΔ </w:t>
      </w:r>
      <w:r>
        <w:rPr>
          <w:noProof/>
        </w:rPr>
        <w:t>AGRI</w:t>
      </w:r>
      <w:r>
        <w:rPr>
          <w:rStyle w:val="af7"/>
          <w:noProof/>
        </w:rPr>
        <w:footnoteReference w:id="5"/>
      </w:r>
      <w:r w:rsidRPr="005B0D19">
        <w:rPr>
          <w:noProof/>
        </w:rPr>
        <w:t>.</w:t>
      </w:r>
    </w:p>
    <w:p w:rsidR="00A57BFD" w:rsidRPr="005B0D19" w:rsidRDefault="005B0D19">
      <w:pPr>
        <w:pStyle w:val="ManualHeading2"/>
        <w:rPr>
          <w:b w:val="0"/>
          <w:noProof/>
          <w:u w:color="000000"/>
          <w:bdr w:val="nil"/>
        </w:rPr>
      </w:pPr>
      <w:r w:rsidRPr="005B0D19">
        <w:rPr>
          <w:noProof/>
        </w:rPr>
        <w:t>•</w:t>
      </w:r>
      <w:r w:rsidRPr="005B0D19">
        <w:rPr>
          <w:noProof/>
        </w:rPr>
        <w:tab/>
      </w:r>
      <w:r w:rsidRPr="005B0D19">
        <w:rPr>
          <w:noProof/>
          <w:color w:val="000000"/>
          <w:u w:color="000000"/>
          <w:bdr w:val="nil"/>
        </w:rPr>
        <w:t>Διαβουλεύσεις</w:t>
      </w:r>
      <w:r w:rsidRPr="005B0D19">
        <w:rPr>
          <w:noProof/>
        </w:rPr>
        <w:t xml:space="preserve"> με τα ενδιαφερόμενα μέρη</w:t>
      </w:r>
    </w:p>
    <w:p w:rsidR="00A57BFD" w:rsidRPr="005B0D19" w:rsidRDefault="005B0D19">
      <w:pPr>
        <w:spacing w:before="0" w:after="240"/>
        <w:rPr>
          <w:noProof/>
        </w:rPr>
      </w:pPr>
      <w:r w:rsidRPr="005B0D19">
        <w:rPr>
          <w:noProof/>
        </w:rPr>
        <w:t xml:space="preserve">Πραγματοποιήθηκε ανοικτή δημόσια διαβούλευση κατά την οποία υποβλήθηκαν περισσότερες από 322.000 παρατηρήσεις, δομημένος διάλογος με τα ενδιαφερόμενα μέρη, πέντε σεμινάρια εμπειρογνωμόνων, γνωμοδοτήσεις από την πλατφόρμα </w:t>
      </w:r>
      <w:r>
        <w:rPr>
          <w:noProof/>
        </w:rPr>
        <w:t>REFIT</w:t>
      </w:r>
      <w:r w:rsidRPr="005B0D19">
        <w:rPr>
          <w:noProof/>
        </w:rPr>
        <w:t xml:space="preserve"> ενώ συνέβαλλαν και η Ευρωπαϊκή Οικονομική και Κοινωνική Επιτροπή, η Επιτροπή των Περιφερειών και τα εθνικά κοινοβούλια. Η διαδικασία έλαβε επίσης υπόψη τις συστάσεις της ειδικής ομάδας για τις γεωργικές αγορές (</w:t>
      </w:r>
      <w:r>
        <w:rPr>
          <w:noProof/>
        </w:rPr>
        <w:t>AMTF</w:t>
      </w:r>
      <w:r w:rsidRPr="005B0D19">
        <w:rPr>
          <w:noProof/>
        </w:rPr>
        <w:t>)</w:t>
      </w:r>
      <w:r>
        <w:rPr>
          <w:rStyle w:val="af7"/>
          <w:noProof/>
        </w:rPr>
        <w:footnoteReference w:id="6"/>
      </w:r>
      <w:r w:rsidRPr="005B0D19">
        <w:rPr>
          <w:noProof/>
        </w:rPr>
        <w:t xml:space="preserve"> και τη διάσκεψη για την αγροτική ανάπτυξη που πραγματοποιήθηκε στο </w:t>
      </w:r>
      <w:r>
        <w:rPr>
          <w:noProof/>
        </w:rPr>
        <w:t>Cork</w:t>
      </w:r>
      <w:r w:rsidRPr="005B0D19">
        <w:rPr>
          <w:noProof/>
        </w:rPr>
        <w:t xml:space="preserve"> της Ιρλανδίας (2016)</w:t>
      </w:r>
      <w:r>
        <w:rPr>
          <w:rStyle w:val="af7"/>
          <w:noProof/>
        </w:rPr>
        <w:footnoteReference w:id="7"/>
      </w:r>
      <w:r w:rsidRPr="005B0D19">
        <w:rPr>
          <w:noProof/>
        </w:rPr>
        <w:t xml:space="preserve">. </w:t>
      </w:r>
    </w:p>
    <w:p w:rsidR="00A57BFD" w:rsidRPr="005B0D19" w:rsidRDefault="005B0D19">
      <w:pPr>
        <w:pStyle w:val="ManualHeading2"/>
        <w:rPr>
          <w:b w:val="0"/>
          <w:noProof/>
          <w:u w:color="000000"/>
          <w:bdr w:val="nil"/>
        </w:rPr>
      </w:pPr>
      <w:r w:rsidRPr="005B0D19">
        <w:rPr>
          <w:noProof/>
        </w:rPr>
        <w:lastRenderedPageBreak/>
        <w:t>•</w:t>
      </w:r>
      <w:r w:rsidRPr="005B0D19">
        <w:rPr>
          <w:noProof/>
        </w:rPr>
        <w:tab/>
      </w:r>
      <w:r w:rsidRPr="005B0D19">
        <w:rPr>
          <w:noProof/>
          <w:color w:val="000000"/>
          <w:u w:color="000000"/>
          <w:bdr w:val="nil"/>
        </w:rPr>
        <w:t>Συλλογή</w:t>
      </w:r>
      <w:r w:rsidRPr="005B0D19">
        <w:rPr>
          <w:noProof/>
        </w:rPr>
        <w:t xml:space="preserve"> και χρήση εμπειρογνωσίας</w:t>
      </w:r>
    </w:p>
    <w:p w:rsidR="00A57BFD" w:rsidRPr="005B0D19" w:rsidRDefault="005B0D19">
      <w:pPr>
        <w:tabs>
          <w:tab w:val="left" w:pos="2302"/>
        </w:tabs>
        <w:spacing w:before="0" w:after="240"/>
        <w:rPr>
          <w:noProof/>
        </w:rPr>
      </w:pPr>
      <w:r w:rsidRPr="005B0D19">
        <w:rPr>
          <w:noProof/>
        </w:rPr>
        <w:t xml:space="preserve">Εξειδικευμένα σεμινάρια διοργανώθηκαν την περίοδο μεταξύ Μαρτίου 2017 και Φεβρουαρίου 2018, προκειμένου να συλλέξουν στοιχεία/πληροφορίες από εμπειρογνώμονες για τα θέματα που αφορούν την ΚΓΠ. Τα σεμινάρια αυτά επέτρεψαν την ανταλλαγή απόψεων μεταξύ εμπειρογνωμόνων και υπαλλήλων της Επιτροπής και ενθάρρυναν τη διατύπωση των βασικών συμπερασμάτων/ζητημάτων που πρέπει να ληφθούν υπόψη στη διαδικασία εκσυγχρονισμού και απλούστευσης. </w:t>
      </w:r>
    </w:p>
    <w:p w:rsidR="00A57BFD" w:rsidRPr="005B0D19" w:rsidRDefault="005B0D19">
      <w:pPr>
        <w:tabs>
          <w:tab w:val="left" w:pos="2302"/>
        </w:tabs>
        <w:spacing w:before="0" w:after="0"/>
        <w:rPr>
          <w:noProof/>
        </w:rPr>
      </w:pPr>
      <w:r w:rsidRPr="005B0D19">
        <w:rPr>
          <w:noProof/>
        </w:rPr>
        <w:t xml:space="preserve">Τα πέντε αντικείμενα των σεμιναρίων επελέγησαν προκειμένου να καλύψουν τους σημαντικότερους τομείς στους οποίους εντοπίστηκαν κενά στην τεχνογνωσία και διαφωνίες σχετικά με τις πολιτικές προσεγγίσεις. Παρόμοια μεθοδολογία εφαρμόστηκε στον σχεδιασμό των σεμιναρίων βασιζόμενη στα εξής: </w:t>
      </w:r>
    </w:p>
    <w:p w:rsidR="00A57BFD" w:rsidRPr="005B0D19" w:rsidRDefault="00A57BFD">
      <w:pPr>
        <w:tabs>
          <w:tab w:val="left" w:pos="2302"/>
        </w:tabs>
        <w:spacing w:before="0" w:after="0"/>
        <w:rPr>
          <w:noProof/>
        </w:rPr>
      </w:pPr>
    </w:p>
    <w:p w:rsidR="00A57BFD" w:rsidRPr="005B0D19" w:rsidRDefault="005B0D19">
      <w:pPr>
        <w:pStyle w:val="a0"/>
        <w:rPr>
          <w:noProof/>
        </w:rPr>
      </w:pPr>
      <w:r w:rsidRPr="005B0D19">
        <w:rPr>
          <w:noProof/>
        </w:rPr>
        <w:t xml:space="preserve">συλλογή των πιο πρόσφατων διαθέσιμων στοιχείων από εμπειρογνώμονες, πανεπιστημιακούς, επαγγελματίες του κλάδου και διεθνείς οργανισμούς· </w:t>
      </w:r>
    </w:p>
    <w:p w:rsidR="00A57BFD" w:rsidRPr="005B0D19" w:rsidRDefault="005B0D19">
      <w:pPr>
        <w:pStyle w:val="a0"/>
        <w:rPr>
          <w:noProof/>
        </w:rPr>
      </w:pPr>
      <w:r w:rsidRPr="005B0D19">
        <w:rPr>
          <w:noProof/>
        </w:rPr>
        <w:t xml:space="preserve">την εστίαση στην πρακτική επί τόπου εμπειρία· </w:t>
      </w:r>
    </w:p>
    <w:p w:rsidR="00A57BFD" w:rsidRPr="005B0D19" w:rsidRDefault="005B0D19">
      <w:pPr>
        <w:pStyle w:val="a0"/>
        <w:rPr>
          <w:noProof/>
        </w:rPr>
      </w:pPr>
      <w:r w:rsidRPr="005B0D19">
        <w:rPr>
          <w:noProof/>
        </w:rPr>
        <w:t xml:space="preserve">αξιολόγηση των προοπτικών των νέων τεχνολογιών/προσεγγίσεων για τη βελτίωση του μελλοντικού σχεδιασμού πολιτικής στον συγκεκριμένο τομέα. </w:t>
      </w:r>
    </w:p>
    <w:p w:rsidR="00A57BFD" w:rsidRPr="005B0D19" w:rsidRDefault="00A57BFD">
      <w:pPr>
        <w:tabs>
          <w:tab w:val="left" w:pos="2302"/>
        </w:tabs>
        <w:spacing w:before="0" w:after="0"/>
        <w:rPr>
          <w:noProof/>
        </w:rPr>
      </w:pPr>
    </w:p>
    <w:p w:rsidR="00A57BFD" w:rsidRPr="005B0D19" w:rsidRDefault="005B0D19">
      <w:pPr>
        <w:tabs>
          <w:tab w:val="left" w:pos="2302"/>
        </w:tabs>
        <w:spacing w:before="0" w:after="0"/>
        <w:rPr>
          <w:noProof/>
        </w:rPr>
      </w:pPr>
      <w:r w:rsidRPr="005B0D19">
        <w:rPr>
          <w:noProof/>
        </w:rPr>
        <w:t xml:space="preserve">Οι περιλήψεις και οι παρουσιάσεις των σεμιναρίων είναι διαθέσιμες στο: </w:t>
      </w:r>
    </w:p>
    <w:p w:rsidR="00A57BFD" w:rsidRPr="005B0D19" w:rsidRDefault="000F0BC5">
      <w:pPr>
        <w:tabs>
          <w:tab w:val="left" w:pos="2302"/>
        </w:tabs>
        <w:spacing w:before="0" w:after="240"/>
        <w:rPr>
          <w:rFonts w:eastAsia="Times New Roman"/>
          <w:noProof/>
          <w:color w:val="0000FF" w:themeColor="hyperlink"/>
          <w:sz w:val="22"/>
          <w:u w:val="single"/>
        </w:rPr>
      </w:pPr>
      <w:hyperlink r:id="rId15">
        <w:r w:rsidR="005B0D19">
          <w:rPr>
            <w:noProof/>
            <w:color w:val="0000FF" w:themeColor="hyperlink"/>
            <w:sz w:val="22"/>
            <w:u w:val="single"/>
          </w:rPr>
          <w:t>https</w:t>
        </w:r>
        <w:r w:rsidR="005B0D19" w:rsidRPr="005B0D19">
          <w:rPr>
            <w:noProof/>
            <w:color w:val="0000FF" w:themeColor="hyperlink"/>
            <w:sz w:val="22"/>
            <w:u w:val="single"/>
          </w:rPr>
          <w:t>://</w:t>
        </w:r>
        <w:r w:rsidR="005B0D19">
          <w:rPr>
            <w:noProof/>
            <w:color w:val="0000FF" w:themeColor="hyperlink"/>
            <w:sz w:val="22"/>
            <w:u w:val="single"/>
          </w:rPr>
          <w:t>ec</w:t>
        </w:r>
        <w:r w:rsidR="005B0D19" w:rsidRPr="005B0D19">
          <w:rPr>
            <w:noProof/>
            <w:color w:val="0000FF" w:themeColor="hyperlink"/>
            <w:sz w:val="22"/>
            <w:u w:val="single"/>
          </w:rPr>
          <w:t>.</w:t>
        </w:r>
        <w:r w:rsidR="005B0D19">
          <w:rPr>
            <w:noProof/>
            <w:color w:val="0000FF" w:themeColor="hyperlink"/>
            <w:sz w:val="22"/>
            <w:u w:val="single"/>
          </w:rPr>
          <w:t>europa</w:t>
        </w:r>
        <w:r w:rsidR="005B0D19" w:rsidRPr="005B0D19">
          <w:rPr>
            <w:noProof/>
            <w:color w:val="0000FF" w:themeColor="hyperlink"/>
            <w:sz w:val="22"/>
            <w:u w:val="single"/>
          </w:rPr>
          <w:t>.</w:t>
        </w:r>
        <w:r w:rsidR="005B0D19">
          <w:rPr>
            <w:noProof/>
            <w:color w:val="0000FF" w:themeColor="hyperlink"/>
            <w:sz w:val="22"/>
            <w:u w:val="single"/>
          </w:rPr>
          <w:t>eu</w:t>
        </w:r>
        <w:r w:rsidR="005B0D19" w:rsidRPr="005B0D19">
          <w:rPr>
            <w:noProof/>
            <w:color w:val="0000FF" w:themeColor="hyperlink"/>
            <w:sz w:val="22"/>
            <w:u w:val="single"/>
          </w:rPr>
          <w:t>/</w:t>
        </w:r>
        <w:r w:rsidR="005B0D19">
          <w:rPr>
            <w:noProof/>
            <w:color w:val="0000FF" w:themeColor="hyperlink"/>
            <w:sz w:val="22"/>
            <w:u w:val="single"/>
          </w:rPr>
          <w:t>agriculture</w:t>
        </w:r>
        <w:r w:rsidR="005B0D19" w:rsidRPr="005B0D19">
          <w:rPr>
            <w:noProof/>
            <w:color w:val="0000FF" w:themeColor="hyperlink"/>
            <w:sz w:val="22"/>
            <w:u w:val="single"/>
          </w:rPr>
          <w:t>/</w:t>
        </w:r>
        <w:r w:rsidR="005B0D19">
          <w:rPr>
            <w:noProof/>
            <w:color w:val="0000FF" w:themeColor="hyperlink"/>
            <w:sz w:val="22"/>
            <w:u w:val="single"/>
          </w:rPr>
          <w:t>events</w:t>
        </w:r>
        <w:r w:rsidR="005B0D19" w:rsidRPr="005B0D19">
          <w:rPr>
            <w:noProof/>
            <w:color w:val="0000FF" w:themeColor="hyperlink"/>
            <w:sz w:val="22"/>
            <w:u w:val="single"/>
          </w:rPr>
          <w:t>/</w:t>
        </w:r>
        <w:r w:rsidR="005B0D19">
          <w:rPr>
            <w:noProof/>
            <w:color w:val="0000FF" w:themeColor="hyperlink"/>
            <w:sz w:val="22"/>
            <w:u w:val="single"/>
          </w:rPr>
          <w:t>cap</w:t>
        </w:r>
        <w:r w:rsidR="005B0D19" w:rsidRPr="005B0D19">
          <w:rPr>
            <w:noProof/>
            <w:color w:val="0000FF" w:themeColor="hyperlink"/>
            <w:sz w:val="22"/>
            <w:u w:val="single"/>
          </w:rPr>
          <w:t>-</w:t>
        </w:r>
        <w:r w:rsidR="005B0D19">
          <w:rPr>
            <w:noProof/>
            <w:color w:val="0000FF" w:themeColor="hyperlink"/>
            <w:sz w:val="22"/>
            <w:u w:val="single"/>
          </w:rPr>
          <w:t>have</w:t>
        </w:r>
        <w:r w:rsidR="005B0D19" w:rsidRPr="005B0D19">
          <w:rPr>
            <w:noProof/>
            <w:color w:val="0000FF" w:themeColor="hyperlink"/>
            <w:sz w:val="22"/>
            <w:u w:val="single"/>
          </w:rPr>
          <w:t>-</w:t>
        </w:r>
        <w:r w:rsidR="005B0D19">
          <w:rPr>
            <w:noProof/>
            <w:color w:val="0000FF" w:themeColor="hyperlink"/>
            <w:sz w:val="22"/>
            <w:u w:val="single"/>
          </w:rPr>
          <w:t>your</w:t>
        </w:r>
        <w:r w:rsidR="005B0D19" w:rsidRPr="005B0D19">
          <w:rPr>
            <w:noProof/>
            <w:color w:val="0000FF" w:themeColor="hyperlink"/>
            <w:sz w:val="22"/>
            <w:u w:val="single"/>
          </w:rPr>
          <w:t>-</w:t>
        </w:r>
        <w:r w:rsidR="005B0D19">
          <w:rPr>
            <w:noProof/>
            <w:color w:val="0000FF" w:themeColor="hyperlink"/>
            <w:sz w:val="22"/>
            <w:u w:val="single"/>
          </w:rPr>
          <w:t>say</w:t>
        </w:r>
        <w:r w:rsidR="005B0D19" w:rsidRPr="005B0D19">
          <w:rPr>
            <w:noProof/>
            <w:color w:val="0000FF" w:themeColor="hyperlink"/>
            <w:sz w:val="22"/>
            <w:u w:val="single"/>
          </w:rPr>
          <w:t>/</w:t>
        </w:r>
        <w:r w:rsidR="005B0D19">
          <w:rPr>
            <w:noProof/>
            <w:color w:val="0000FF" w:themeColor="hyperlink"/>
            <w:sz w:val="22"/>
            <w:u w:val="single"/>
          </w:rPr>
          <w:t>workshops</w:t>
        </w:r>
        <w:r w:rsidR="005B0D19" w:rsidRPr="005B0D19">
          <w:rPr>
            <w:noProof/>
            <w:color w:val="0000FF" w:themeColor="hyperlink"/>
            <w:sz w:val="22"/>
            <w:u w:val="single"/>
          </w:rPr>
          <w:t>_</w:t>
        </w:r>
        <w:r w:rsidR="005B0D19">
          <w:rPr>
            <w:noProof/>
            <w:color w:val="0000FF" w:themeColor="hyperlink"/>
            <w:sz w:val="22"/>
            <w:u w:val="single"/>
          </w:rPr>
          <w:t>en</w:t>
        </w:r>
      </w:hyperlink>
    </w:p>
    <w:p w:rsidR="00A57BFD" w:rsidRPr="005B0D19" w:rsidRDefault="005B0D19">
      <w:pPr>
        <w:rPr>
          <w:noProof/>
          <w:u w:val="single"/>
        </w:rPr>
      </w:pPr>
      <w:r w:rsidRPr="005B0D19">
        <w:rPr>
          <w:noProof/>
          <w:u w:val="single"/>
        </w:rPr>
        <w:t xml:space="preserve">Σεμινάριο 1: </w:t>
      </w:r>
      <w:hyperlink r:id="rId16" w:anchor="ws1">
        <w:r w:rsidRPr="005B0D19">
          <w:rPr>
            <w:noProof/>
            <w:u w:val="single"/>
          </w:rPr>
          <w:t>Βέλτιστες πρακτικές για την αντιμετώπιση των περιβαλλοντικών και κλιματικών αναγκών</w:t>
        </w:r>
      </w:hyperlink>
      <w:r w:rsidRPr="005B0D19">
        <w:rPr>
          <w:noProof/>
          <w:u w:val="single"/>
        </w:rPr>
        <w:t>(23/24 Μαρτίου 2017)</w:t>
      </w:r>
    </w:p>
    <w:p w:rsidR="00A57BFD" w:rsidRDefault="005B0D19">
      <w:pPr>
        <w:tabs>
          <w:tab w:val="left" w:pos="2302"/>
        </w:tabs>
        <w:spacing w:before="0" w:after="240"/>
        <w:rPr>
          <w:noProof/>
        </w:rPr>
      </w:pPr>
      <w:r w:rsidRPr="005B0D19">
        <w:rPr>
          <w:noProof/>
        </w:rPr>
        <w:t xml:space="preserve">Στο διήμερο σεμινάριο συμμετείχαν διάφοροι εμπειρογνώμονες για τις περιβαλλοντικές και κλιματικές προκλήσεις. </w:t>
      </w:r>
      <w:r>
        <w:rPr>
          <w:noProof/>
        </w:rPr>
        <w:t>Συγκεκριμένα εξετάστηκαν:</w:t>
      </w:r>
    </w:p>
    <w:p w:rsidR="00A57BFD" w:rsidRPr="005B0D19" w:rsidRDefault="005B0D19">
      <w:pPr>
        <w:pStyle w:val="ListBullet1"/>
        <w:rPr>
          <w:noProof/>
        </w:rPr>
      </w:pPr>
      <w:r w:rsidRPr="005B0D19">
        <w:rPr>
          <w:noProof/>
        </w:rPr>
        <w:t>τα διαθέσιμα εργαλεία για την αξιολόγηση των περιβαλλοντικών αναγκών·</w:t>
      </w:r>
    </w:p>
    <w:p w:rsidR="00A57BFD" w:rsidRPr="005B0D19" w:rsidRDefault="005B0D19">
      <w:pPr>
        <w:pStyle w:val="ListBullet1"/>
        <w:rPr>
          <w:noProof/>
        </w:rPr>
      </w:pPr>
      <w:r w:rsidRPr="005B0D19">
        <w:rPr>
          <w:noProof/>
        </w:rPr>
        <w:t xml:space="preserve">οι μέθοδοι βελτίωσης χρήσης των μέτρων (με έμφαση στο ρόλο των συμπεριφορικών προσεγγίσεων). </w:t>
      </w:r>
    </w:p>
    <w:p w:rsidR="00A57BFD" w:rsidRPr="005B0D19" w:rsidRDefault="005B0D19">
      <w:pPr>
        <w:rPr>
          <w:noProof/>
          <w:u w:val="single"/>
        </w:rPr>
      </w:pPr>
      <w:r w:rsidRPr="005B0D19">
        <w:rPr>
          <w:noProof/>
          <w:u w:val="single"/>
        </w:rPr>
        <w:t>Σεμινάριο 2: Διαχείριση κινδύνων (18/19 Μαΐου 2017)</w:t>
      </w:r>
    </w:p>
    <w:p w:rsidR="00A57BFD" w:rsidRDefault="005B0D19">
      <w:pPr>
        <w:tabs>
          <w:tab w:val="left" w:pos="2302"/>
        </w:tabs>
        <w:spacing w:before="0" w:after="240"/>
        <w:rPr>
          <w:noProof/>
        </w:rPr>
      </w:pPr>
      <w:r w:rsidRPr="005B0D19">
        <w:rPr>
          <w:noProof/>
        </w:rPr>
        <w:t xml:space="preserve">Το διήμερο αυτό σεμινάριο είχε ως αντικείμενο τη συλλογή αποδεικτικών στοιχείων στη συζήτηση σχετικά με τα εργαλεία για την υποστήριξη της αγροτικής κοινότητας προκειμένου να αντιμετωπίζει καλύτερα τους κινδύνους που σχετίζονται με την παραγωγή, τις τιμές και το εισόδημα. </w:t>
      </w:r>
      <w:r>
        <w:rPr>
          <w:noProof/>
        </w:rPr>
        <w:t>Στη διάρκεια του εξετάστηκαν:</w:t>
      </w:r>
    </w:p>
    <w:p w:rsidR="00A57BFD" w:rsidRPr="005B0D19" w:rsidRDefault="005B0D19">
      <w:pPr>
        <w:pStyle w:val="ListBullet1"/>
        <w:rPr>
          <w:noProof/>
        </w:rPr>
      </w:pPr>
      <w:r w:rsidRPr="005B0D19">
        <w:rPr>
          <w:noProof/>
        </w:rPr>
        <w:t>οι προκλήσεις του διχτυού ασφάλειας της αγοράς της ΕΕ και οι πρόσφατες εξελίξεις στο σύστημα διαχείρισης κινδύνων που ισχύει στις ΗΠΑ·</w:t>
      </w:r>
    </w:p>
    <w:p w:rsidR="00A57BFD" w:rsidRPr="005B0D19" w:rsidRDefault="005B0D19">
      <w:pPr>
        <w:pStyle w:val="ListBullet1"/>
        <w:rPr>
          <w:noProof/>
        </w:rPr>
      </w:pPr>
      <w:r w:rsidRPr="005B0D19">
        <w:rPr>
          <w:noProof/>
        </w:rPr>
        <w:t>η περίπτωση των μελλοντικών αγορών στην ΕΕ, ο τομέας γεωργικών ασφαλίσεων και αντασφάλισης της ΕΕ, η περίπτωση σύμπραξης δημόσιου και ιδιωτικού τομέα και ένα πρόγραμμα ασφάλισης των καλλιεργειών·</w:t>
      </w:r>
    </w:p>
    <w:p w:rsidR="00A57BFD" w:rsidRPr="005B0D19" w:rsidRDefault="005B0D19">
      <w:pPr>
        <w:pStyle w:val="ListBullet1"/>
        <w:rPr>
          <w:noProof/>
        </w:rPr>
      </w:pPr>
      <w:r w:rsidRPr="005B0D19">
        <w:rPr>
          <w:noProof/>
        </w:rPr>
        <w:t xml:space="preserve">συμπεριφορικές πτυχές της διαχείρισης κινδύνων. </w:t>
      </w:r>
    </w:p>
    <w:p w:rsidR="00A57BFD" w:rsidRPr="005B0D19" w:rsidRDefault="005B0D19">
      <w:pPr>
        <w:rPr>
          <w:noProof/>
          <w:u w:val="single"/>
        </w:rPr>
      </w:pPr>
      <w:r w:rsidRPr="005B0D19">
        <w:rPr>
          <w:noProof/>
          <w:u w:val="single"/>
        </w:rPr>
        <w:t xml:space="preserve">Ημερίδα 3: Τρόφιμα και συναφή ζητήματα (31 Μαΐου 2017) </w:t>
      </w:r>
    </w:p>
    <w:p w:rsidR="00A57BFD" w:rsidRPr="005B0D19" w:rsidRDefault="005B0D19">
      <w:pPr>
        <w:tabs>
          <w:tab w:val="left" w:pos="2302"/>
        </w:tabs>
        <w:spacing w:before="0" w:after="240"/>
        <w:rPr>
          <w:noProof/>
        </w:rPr>
      </w:pPr>
      <w:r w:rsidRPr="005B0D19">
        <w:rPr>
          <w:noProof/>
        </w:rPr>
        <w:t xml:space="preserve">Στο σεμινάριο για τα τρόφιμα και συναφή ζητήματα εξετάστηκε η ευθυγράμμιση της ΚΓΠ με την πολιτική της υγείας και την ικανότητά της να διευκολύνει την προσαρμογή των αγροτών </w:t>
      </w:r>
      <w:r w:rsidRPr="005B0D19">
        <w:rPr>
          <w:noProof/>
        </w:rPr>
        <w:lastRenderedPageBreak/>
        <w:t xml:space="preserve">στις αλλαγές των καταναλωτικών προτύπων. Ειδικότερα η αντοχή στα αντιμικροβιακά χρήζει ιδιαίτερης προσοχής. </w:t>
      </w:r>
    </w:p>
    <w:p w:rsidR="00A57BFD" w:rsidRPr="005B0D19" w:rsidRDefault="005B0D19">
      <w:pPr>
        <w:rPr>
          <w:noProof/>
          <w:u w:val="single"/>
        </w:rPr>
      </w:pPr>
      <w:r w:rsidRPr="005B0D19">
        <w:rPr>
          <w:noProof/>
          <w:u w:val="single"/>
        </w:rPr>
        <w:t>Σεμινάριο 4: Κοινωνικοοικονομικά ζητήματα (9 Ιουνίου 2017)</w:t>
      </w:r>
    </w:p>
    <w:p w:rsidR="00A57BFD" w:rsidRPr="005B0D19" w:rsidRDefault="005B0D19">
      <w:pPr>
        <w:suppressAutoHyphens/>
        <w:autoSpaceDN w:val="0"/>
        <w:spacing w:before="0" w:after="0"/>
        <w:textAlignment w:val="baseline"/>
        <w:rPr>
          <w:noProof/>
        </w:rPr>
      </w:pPr>
      <w:r w:rsidRPr="005B0D19">
        <w:rPr>
          <w:noProof/>
        </w:rPr>
        <w:t xml:space="preserve">Το σεμινάριο για τα κοινωνικοοικονομικά θέματα επικεντρώθηκε στην ανάλυση της δυναμικής της ανάπτυξης και της απασχόλησης στον κλάδο γεωργικών προϊόντων διατροφής στην ΕΕ. Εξέτασε τους δεσμούς μεταξύ της παγκόσμιας γεωργίας και των αλυσίδων αξίας των τροφίμων στην ΕΕ τόσο από εννοιολογική όσο και πρακτική άποψη, με βάση μελέτες περιπτώσεων. </w:t>
      </w:r>
    </w:p>
    <w:p w:rsidR="00A57BFD" w:rsidRPr="005B0D19" w:rsidRDefault="00A57BFD">
      <w:pPr>
        <w:suppressAutoHyphens/>
        <w:autoSpaceDN w:val="0"/>
        <w:spacing w:before="0" w:after="75"/>
        <w:textAlignment w:val="baseline"/>
        <w:rPr>
          <w:noProof/>
        </w:rPr>
      </w:pPr>
    </w:p>
    <w:p w:rsidR="00A57BFD" w:rsidRPr="005B0D19" w:rsidRDefault="005B0D19">
      <w:pPr>
        <w:rPr>
          <w:noProof/>
          <w:u w:val="single"/>
        </w:rPr>
      </w:pPr>
      <w:r w:rsidRPr="005B0D19">
        <w:rPr>
          <w:noProof/>
          <w:u w:val="single"/>
        </w:rPr>
        <w:t>Ημερίδα 5: Μέτρηση των περιβαλλοντικών και κλιματικών επιδόσεων της ΚΓΠ (26 Φεβρουαρίου 2018)</w:t>
      </w:r>
    </w:p>
    <w:p w:rsidR="00A57BFD" w:rsidRPr="005B0D19" w:rsidRDefault="005B0D19">
      <w:pPr>
        <w:suppressAutoHyphens/>
        <w:autoSpaceDN w:val="0"/>
        <w:spacing w:before="0" w:after="75"/>
        <w:textAlignment w:val="baseline"/>
        <w:rPr>
          <w:noProof/>
        </w:rPr>
      </w:pPr>
      <w:r w:rsidRPr="005B0D19">
        <w:rPr>
          <w:noProof/>
        </w:rPr>
        <w:t xml:space="preserve">Στο σεμινάριο εξετάστηκαν ποιοι βασικοί στόχοι πολιτικής μπορούν να οριστούν σε επίπεδο ΕΕ, πώς μπορούν να εφαρμοστούν σε επίπεδο κρατών μελών και πώς μπορούν να παρακολουθούνται, να ελέγχονται και να αξιολογούνται. </w:t>
      </w:r>
    </w:p>
    <w:p w:rsidR="00A57BFD" w:rsidRPr="005B0D19" w:rsidRDefault="005B0D19">
      <w:pPr>
        <w:pStyle w:val="ManualHeading2"/>
        <w:rPr>
          <w:b w:val="0"/>
          <w:noProof/>
          <w:u w:color="000000"/>
          <w:bdr w:val="nil"/>
        </w:rPr>
      </w:pPr>
      <w:r w:rsidRPr="005B0D19">
        <w:rPr>
          <w:noProof/>
        </w:rPr>
        <w:t>•</w:t>
      </w:r>
      <w:r w:rsidRPr="005B0D19">
        <w:rPr>
          <w:noProof/>
        </w:rPr>
        <w:tab/>
      </w:r>
      <w:r w:rsidRPr="005B0D19">
        <w:rPr>
          <w:noProof/>
          <w:color w:val="000000"/>
          <w:u w:color="000000"/>
          <w:bdr w:val="nil"/>
        </w:rPr>
        <w:t>Εκτίμηση</w:t>
      </w:r>
      <w:r w:rsidRPr="005B0D19">
        <w:rPr>
          <w:noProof/>
        </w:rPr>
        <w:t xml:space="preserve"> επιπτώσεων</w:t>
      </w:r>
    </w:p>
    <w:p w:rsidR="00A57BFD" w:rsidRPr="005B0D19" w:rsidRDefault="005B0D19">
      <w:pPr>
        <w:pBdr>
          <w:top w:val="nil"/>
          <w:left w:val="nil"/>
          <w:bottom w:val="nil"/>
          <w:right w:val="nil"/>
          <w:between w:val="nil"/>
          <w:bar w:val="nil"/>
        </w:pBdr>
        <w:spacing w:before="0" w:after="0"/>
        <w:rPr>
          <w:rFonts w:eastAsia="Arial Unicode MS"/>
          <w:noProof/>
        </w:rPr>
      </w:pPr>
      <w:r w:rsidRPr="005B0D19">
        <w:rPr>
          <w:noProof/>
        </w:rPr>
        <w:t>Η εκτίμηση επιπτώσεων που συνοδεύει τις νομοθετικές προτάσεις, καθώς και οι γνωμοδοτήσεις της επιτροπής ρυθμιστικού ελέγχου (ΕΡΕ), διατίθενται στον ακόλουθο ιστότοπο:</w:t>
      </w:r>
    </w:p>
    <w:p w:rsidR="00A57BFD" w:rsidRPr="005B0D19" w:rsidRDefault="000F0BC5">
      <w:pPr>
        <w:pBdr>
          <w:top w:val="nil"/>
          <w:left w:val="nil"/>
          <w:bottom w:val="nil"/>
          <w:right w:val="nil"/>
          <w:between w:val="nil"/>
          <w:bar w:val="nil"/>
        </w:pBdr>
        <w:spacing w:before="0" w:after="240"/>
        <w:rPr>
          <w:rFonts w:eastAsia="Arial Unicode MS"/>
          <w:i/>
          <w:noProof/>
        </w:rPr>
      </w:pPr>
      <w:hyperlink r:id="rId17">
        <w:r w:rsidR="005B0D19" w:rsidRPr="005B0D19">
          <w:rPr>
            <w:rStyle w:val="-"/>
            <w:i/>
            <w:noProof/>
          </w:rPr>
          <w:t>Κατάλογος των εκτιμήσεων επιπτώσεων και των συνοδευτικών γνωμοδοτήσεων της επιτροπής ρυθμιστικού ελέγχου</w:t>
        </w:r>
      </w:hyperlink>
    </w:p>
    <w:p w:rsidR="00A57BFD" w:rsidRPr="005B0D19" w:rsidRDefault="005B0D19">
      <w:pPr>
        <w:pBdr>
          <w:top w:val="nil"/>
          <w:left w:val="nil"/>
          <w:bottom w:val="nil"/>
          <w:right w:val="nil"/>
          <w:between w:val="nil"/>
          <w:bar w:val="nil"/>
        </w:pBdr>
        <w:spacing w:before="0" w:after="240"/>
        <w:rPr>
          <w:rFonts w:eastAsia="Arial Unicode MS"/>
          <w:i/>
          <w:noProof/>
        </w:rPr>
      </w:pPr>
      <w:r w:rsidRPr="005B0D19">
        <w:rPr>
          <w:noProof/>
        </w:rPr>
        <w:t>Η ΕΡΕ αρχικά εξέδωσε αρνητική γνωμοδότηση. Η ΕΡΕ εκτιμά μεν τη φιλοδοξία να εκσυγχρονιστεί και να απλουστευθεί η ΚΓΠ, και τη σε βάθος ανάλυση των διαφόρων σεναρίων που επισημαίνουν –πράγμα χρήσιμο– τους συμβιβασμούς και τις ισορροπίες μεταξύ των στόχων πολιτικής, όμως έκρινε ότι στην έκθεση θα πρέπει να εξηγείται καλύτερα η φιλοσοφία, η σκοπιμότητα και η λειτουργία του προτεινόμενου νέου μοντέλου υλοποίησης. Οι συμπληρώσεις που ζητήθηκαν προστέθηκαν στην έκθεση εκτίμησης επιπτώσεων, μεταξύ άλλων σε ειδικό παράρτημα σχετικά με τις προτάσεις για το νέο μοντέλο υλοποίησης. Στη βάση αυτή, η επιτροπή ρυθμιστικού ελέγχου εξέδωσε θετική γνώμη με επιφύλαξη. Η ΕΡΕ σημείωσε μεν τις βελτιώσεις στην έκθεση, αλλά ζήτησε περαιτέρω διευκρινίσεις σχετικά με τις ακριβείς διασφαλίσεις για τον μετριασμό των κινδύνων που επεσήμανε. Το παράρτημα 1 της έκθεσης εκτίμησης επιπτώσεων (έγγραφο εργασίας των υπηρεσιών της Επιτροπής) απαριθμεί τις προσαρμογές που πραγματοποιήθηκαν προκειμένου να ικανοποιηθούν οι απαιτήσεις της ΕΡΕ</w:t>
      </w:r>
      <w:r w:rsidRPr="005B0D19">
        <w:rPr>
          <w:i/>
          <w:noProof/>
        </w:rPr>
        <w:t xml:space="preserve">.   </w:t>
      </w:r>
    </w:p>
    <w:p w:rsidR="00A57BFD" w:rsidRPr="005B0D19" w:rsidRDefault="005B0D19">
      <w:pPr>
        <w:pBdr>
          <w:top w:val="nil"/>
          <w:left w:val="nil"/>
          <w:bottom w:val="nil"/>
          <w:right w:val="nil"/>
          <w:between w:val="nil"/>
          <w:bar w:val="nil"/>
        </w:pBdr>
        <w:spacing w:before="0" w:after="240"/>
        <w:rPr>
          <w:noProof/>
        </w:rPr>
      </w:pPr>
      <w:r w:rsidRPr="005B0D19">
        <w:rPr>
          <w:noProof/>
        </w:rPr>
        <w:t>Στην έκθεση εκτίμησης επιπτώσεων περιγράφονται και συζητούνται διάφορες επιλογές πολιτικών. Δεν υφίσταται προτιμώμενη επιλογή στην εκτίμηση των επιπτώσεων. Αντίθετα, εξετάστηκαν διάφοροι συνδυασμοί από στοιχεία των προτάσεων στις διάφορες επιλογές προκειμένου να δημιουργηθεί ο καλύτερος δυνατός συνδυασμός.</w:t>
      </w:r>
    </w:p>
    <w:p w:rsidR="00A57BFD" w:rsidRPr="005B0D19" w:rsidRDefault="005B0D19">
      <w:pPr>
        <w:pBdr>
          <w:top w:val="nil"/>
          <w:left w:val="nil"/>
          <w:bottom w:val="nil"/>
          <w:right w:val="nil"/>
          <w:between w:val="nil"/>
          <w:bar w:val="nil"/>
        </w:pBdr>
        <w:spacing w:before="0" w:after="240"/>
        <w:rPr>
          <w:noProof/>
        </w:rPr>
      </w:pPr>
      <w:r w:rsidRPr="005B0D19">
        <w:rPr>
          <w:noProof/>
        </w:rPr>
        <w:t>Οι διάφορες επιλογές πολιτικών πραγματοποιούν κατ’</w:t>
      </w:r>
      <w:r>
        <w:rPr>
          <w:noProof/>
        </w:rPr>
        <w:t> </w:t>
      </w:r>
      <w:r w:rsidRPr="005B0D19">
        <w:rPr>
          <w:noProof/>
        </w:rPr>
        <w:t>ουσία μια αντιπαραβολή προσεγγίσεων για την επίτευξη των καθορισμένων στόχων:</w:t>
      </w:r>
    </w:p>
    <w:p w:rsidR="00A57BFD" w:rsidRPr="005B0D19" w:rsidRDefault="005B0D19">
      <w:pPr>
        <w:pStyle w:val="ManualNumPar1"/>
        <w:rPr>
          <w:noProof/>
        </w:rPr>
      </w:pPr>
      <w:r w:rsidRPr="005B0D19">
        <w:t>1.</w:t>
      </w:r>
      <w:r w:rsidRPr="005B0D19">
        <w:tab/>
      </w:r>
      <w:r w:rsidRPr="005B0D19">
        <w:rPr>
          <w:noProof/>
        </w:rPr>
        <w:t>τα διαφορετικά επίπεδα περιβαλλοντικών και κλιματικών φιλοδοξιών, εστιάζοντας στις πιθανές επιπτώσεις των υποχρεωτικών και εθελοντικών συστημάτων λειτουργίας·</w:t>
      </w:r>
    </w:p>
    <w:p w:rsidR="00A57BFD" w:rsidRPr="005B0D19" w:rsidRDefault="005B0D19">
      <w:pPr>
        <w:pStyle w:val="ManualNumPar1"/>
        <w:rPr>
          <w:noProof/>
        </w:rPr>
      </w:pPr>
      <w:r w:rsidRPr="005B0D19">
        <w:t>2.</w:t>
      </w:r>
      <w:r w:rsidRPr="005B0D19">
        <w:tab/>
      </w:r>
      <w:r w:rsidRPr="005B0D19">
        <w:rPr>
          <w:noProof/>
        </w:rPr>
        <w:t xml:space="preserve">τους διαφορετικούς τρόπους στήριξης των αγροτικών εισοδημάτων και, ειδικότερα, της κατανομής αυτής της στήριξης μεταξύ διαφόρων αγροτών, με ιδιαίτερη έμφαση </w:t>
      </w:r>
      <w:r w:rsidRPr="005B0D19">
        <w:rPr>
          <w:noProof/>
        </w:rPr>
        <w:lastRenderedPageBreak/>
        <w:t>στις πιθανές επιπτώσεις στις μικρές και μεσαίες γεωργικές εκμεταλλεύσεις (αγροκτήματα).</w:t>
      </w:r>
    </w:p>
    <w:p w:rsidR="00A57BFD" w:rsidRPr="005B0D19" w:rsidRDefault="005B0D19">
      <w:pPr>
        <w:pStyle w:val="ManualNumPar1"/>
        <w:rPr>
          <w:noProof/>
        </w:rPr>
      </w:pPr>
      <w:r w:rsidRPr="005B0D19">
        <w:t>3.</w:t>
      </w:r>
      <w:r w:rsidRPr="005B0D19">
        <w:tab/>
      </w:r>
      <w:r w:rsidRPr="005B0D19">
        <w:rPr>
          <w:noProof/>
        </w:rPr>
        <w:t xml:space="preserve">τις ευρύτερες κοινωνικο-οικονομικές παρεμβάσεις, ιδίως στο πλαίσιο της πολιτικής για την αγροτική ανάπτυξη, καθώς και τις οριζόντιες προσεγγίσεις για τον εκσυγχρονισμό. </w:t>
      </w:r>
    </w:p>
    <w:p w:rsidR="00A57BFD" w:rsidRPr="005B0D19" w:rsidRDefault="005B0D19">
      <w:pPr>
        <w:rPr>
          <w:noProof/>
        </w:rPr>
      </w:pPr>
      <w:r w:rsidRPr="005B0D19">
        <w:rPr>
          <w:noProof/>
        </w:rPr>
        <w:t xml:space="preserve">Η πρώτη επιλογή εξετάζει τη δυναμική ενός εθελοντικού οικολογικού προγράμματος για την αύξηση της περιβαλλοντικής και κλιματικής φιλοδοξίας. Εξετάζει επίσης τον δυνητικό ρόλο των εργαλείων διαχείρισης κινδύνων με χαμηλότερες άμεσες ενισχύσεις για τη στήριξη του αγροτικού εισοδήματος. Δύο υπο-επιλογές αντικατοπτρίζουν τις διαφορετικές περιβαλλοντικές φιλοδοξίες και προσεγγίσεις των άμεσων ενισχύσεων στα κράτη μέλη εντός του νέου μοντέλου υλοποίησης. </w:t>
      </w:r>
    </w:p>
    <w:p w:rsidR="00A57BFD" w:rsidRPr="005B0D19" w:rsidRDefault="005B0D19">
      <w:pPr>
        <w:spacing w:before="0"/>
        <w:rPr>
          <w:noProof/>
        </w:rPr>
      </w:pPr>
      <w:r w:rsidRPr="005B0D19">
        <w:rPr>
          <w:noProof/>
        </w:rPr>
        <w:t>Σε μια άλλη επιλογή, οι άμεσες ενισχύσεις στοχοθετούνται καλύτερα και η εφαρμογή των προϋποθέσεων είναι πιο φιλόδοξη προκειμένου να βελτιωθούν οι κοινές οικονομικές και περιβαλλοντικές επιδόσεις της ΚΓΠ καθώς και να αντιμετωπιστούν οι κλιματικές προκλήσεις. Αναπτύσσονται επίσης υπο-επιλογές για να επεξηγηθούν πιθανές διαφορές στις φιλοδοξίες των κρατών μελών όσον αφορά τους περιβαλλοντικούς και κλιματικούς στόχους.</w:t>
      </w:r>
    </w:p>
    <w:p w:rsidR="00A57BFD" w:rsidRPr="005B0D19" w:rsidRDefault="005B0D19">
      <w:pPr>
        <w:spacing w:before="0" w:after="0"/>
        <w:rPr>
          <w:noProof/>
        </w:rPr>
      </w:pPr>
      <w:r w:rsidRPr="005B0D19">
        <w:rPr>
          <w:noProof/>
        </w:rPr>
        <w:t>Η τελευταία επιλογή δίνει ιδιαίτερη έμφαση στη φροντίδα του περιβάλλοντος και στην απασχόληση - και στρέφει την προσοχή στους μικρής και μεσαίας κλίμακας αγρότες ώστε να διατηρηθούν οι θέσεις εργασίας στις αγροτικές περιοχές. Τα κράτη μέλη υποχρεούνται να διαθέτουν το 30% των κονδυλίων του πρώτου πυλώνα σε πριμοδοτήσεις των τεσσάρων σχεδίων εθελοντισμού για τους αγρότες που περιλαμβάνουν τη βιολογική γεωργία, τους μόνιμους λειμώνες, τις περιοχές με φυσικούς περιορισμούς και τα γραμμικά στοιχεία τοπίου προκειμένου να ενθαρρύνουν την ανάληψη δράσης για την κλιματική αλλαγή και τη βιώσιμη διαχείριση των φυσικών πόρων.</w:t>
      </w:r>
    </w:p>
    <w:p w:rsidR="00A57BFD" w:rsidRPr="005B0D19" w:rsidRDefault="00A57BFD">
      <w:pPr>
        <w:spacing w:before="0" w:after="0"/>
        <w:rPr>
          <w:noProof/>
        </w:rPr>
      </w:pPr>
    </w:p>
    <w:p w:rsidR="00A57BFD" w:rsidRPr="005B0D19" w:rsidRDefault="005B0D19">
      <w:pPr>
        <w:spacing w:before="0" w:after="240"/>
        <w:rPr>
          <w:noProof/>
        </w:rPr>
      </w:pPr>
      <w:r w:rsidRPr="005B0D19">
        <w:rPr>
          <w:noProof/>
        </w:rPr>
        <w:t>Η εκτίμηση επιπτώσεων επισημαίνει τους δύσκολους συμβιβασμούς που αποτελούν εγγενές χαρακτηριστικό μιας πολιτικής για την αντιμετώπιση πολλών διαφορετικών στόχων, όταν βασικές παράμετροι μεταβάλλονται σημαντικά.</w:t>
      </w:r>
    </w:p>
    <w:p w:rsidR="00A57BFD" w:rsidRPr="005B0D19" w:rsidRDefault="005B0D19">
      <w:pPr>
        <w:spacing w:before="0" w:after="240"/>
        <w:rPr>
          <w:rFonts w:eastAsia="Times New Roman"/>
          <w:noProof/>
          <w:szCs w:val="20"/>
        </w:rPr>
      </w:pPr>
      <w:r w:rsidRPr="005B0D19">
        <w:rPr>
          <w:noProof/>
        </w:rPr>
        <w:t>Ένα βασικό στοιχείο είναι το επίπεδο στήριξης της ΚΓΠ. Η περικοπή κατά 5</w:t>
      </w:r>
      <w:r>
        <w:rPr>
          <w:noProof/>
        </w:rPr>
        <w:t> </w:t>
      </w:r>
      <w:r w:rsidRPr="005B0D19">
        <w:rPr>
          <w:noProof/>
        </w:rPr>
        <w:t xml:space="preserve">% που προτείνει η Επιτροπή στην ανακοίνωσή της του Μαΐου 2018 για το ΠΔΠ 2021-2027 βρίσκεται εντός του φάσματος που εξετάζεται στην εκτίμηση επιπτώσεων. </w:t>
      </w:r>
    </w:p>
    <w:p w:rsidR="00A57BFD" w:rsidRPr="005B0D19" w:rsidRDefault="005B0D19">
      <w:pPr>
        <w:spacing w:before="0" w:after="240"/>
        <w:rPr>
          <w:noProof/>
        </w:rPr>
      </w:pPr>
      <w:r w:rsidRPr="005B0D19">
        <w:rPr>
          <w:noProof/>
        </w:rPr>
        <w:t xml:space="preserve">Όσον αφορά στο γεωργικό εισόδημα, τόσο το επίπεδο όσο και η κατανομή της στήριξης είναι εξίσου σημαντικά. Η εξασφάλιση επαρκούς επιπέδου ενίσχυσης και επομένως του γεωργικού εισοδήματος αποτελεί θεμελιώδες στοιχείο για τη διασφάλιση της επισιτιστικής ασφάλειας, της περιβαλλοντικής και κλιματικής φιλοδοξίας, καθώς και της ζωτικότητας των αγροτικών περιοχών στο μέλλον. </w:t>
      </w:r>
      <w:r w:rsidRPr="005B0D19">
        <w:rPr>
          <w:b/>
          <w:noProof/>
        </w:rPr>
        <w:t>Η καλύτερη στοχοθέτηση της ενίσχυσης</w:t>
      </w:r>
      <w:r w:rsidRPr="005B0D19">
        <w:rPr>
          <w:noProof/>
        </w:rPr>
        <w:t xml:space="preserve"> σε μικρές και μεσαίες γεωργικές εκμεταλλεύσεις και περιοχές με φυσικούς περιορισμούς μπορεί να συμβάλει στη διατήρηση περισσότερων θέσεων εργασίας σε αυτές και στη γεωργική δραστηριότητα σε ολόκληρη την επικράτεια, ενισχύοντας έτσι τον κοινωνικο-οικονομικό ιστό στις αγροτικές περιοχές. Η επιβολή ανώτατου ορίου πληρωμών και η σύγκλιση μπορούν να βελτιώσουν την κατανομή των άμεσων ενισχύσεων. Είναι σαφές ότι οποιαδήποτε επιλογή με σημαντική ανακατανομή των άμεσων ενισχύσεων στις γεωργικές εκμεταλλεύσεις και τις περιοχές με χαμηλότερη παραγωγικότητα θα οδηγήσει, βραχυπρόθεσμα, σε μείωση της ανταγωνιστικότητας της ΕΕ, αλλά θα ενισχύσει την προστασία του περιβάλλοντος. Ωστόσο, είναι λιγότερο σαφής ο κατάλληλος συνδυασμός μέτρων που θα μπορούσαν να μετριάσουν τις αρνητικές επιπτώσεις στο εισόδημα και ταυτόχρονα θα ανταποκρίνονταν καλύτερα στις προκλήσεις που αντιμετωπίζει ο γεωργικός τομέας - όπως το περιβάλλον και το κλίμα ή οι </w:t>
      </w:r>
      <w:r w:rsidRPr="005B0D19">
        <w:rPr>
          <w:noProof/>
        </w:rPr>
        <w:lastRenderedPageBreak/>
        <w:t>κοινωνικές προσδοκίες. Αυτό απαιτεί την παροχή κινήτρων για προσαρμογές που θα βελτιώσουν τόσο τις κοινωνικο-οικονομικές όσο και τις περιβαλλοντικές επιδόσεις του τομέα.</w:t>
      </w:r>
    </w:p>
    <w:p w:rsidR="00A57BFD" w:rsidRPr="005B0D19" w:rsidRDefault="005B0D19">
      <w:pPr>
        <w:spacing w:before="0" w:after="240"/>
        <w:rPr>
          <w:noProof/>
        </w:rPr>
      </w:pPr>
      <w:r w:rsidRPr="005B0D19">
        <w:rPr>
          <w:noProof/>
        </w:rPr>
        <w:t xml:space="preserve">Οι εισηγήσεις από τη διαβούλευση μεταξύ των ενδιαφερόμενων μερών και οι αναλύσεις αποδεικνύουν ότι αυτό είναι δυνατό, υπό την προϋπόθεση ότι θα ληφθούν τα αναγκαία συνοδευτικά μέτρα </w:t>
      </w:r>
      <w:r w:rsidRPr="005B0D19">
        <w:rPr>
          <w:b/>
          <w:noProof/>
        </w:rPr>
        <w:t>αύξησης της φιλοδοξίας της δράσης για το περιβάλλον και το κλίμα</w:t>
      </w:r>
      <w:r w:rsidRPr="005B0D19">
        <w:rPr>
          <w:noProof/>
        </w:rPr>
        <w:t xml:space="preserve"> που θα επιτρέπουν την υιοθέτηση βέλτιστων πρακτικών (τόσο στις συμβατικές όσο και στις άλλες μορφές γεωργίας) που περιλαμβάνουν την τεχνογνωσία, την καινοτομία και την τελευταία σχετική τεχνολογία.</w:t>
      </w:r>
    </w:p>
    <w:p w:rsidR="00A57BFD" w:rsidRPr="005B0D19" w:rsidRDefault="005B0D19">
      <w:pPr>
        <w:spacing w:before="0" w:after="240"/>
        <w:rPr>
          <w:noProof/>
        </w:rPr>
      </w:pPr>
      <w:r w:rsidRPr="005B0D19">
        <w:rPr>
          <w:noProof/>
        </w:rPr>
        <w:t xml:space="preserve">Σύμφωνα με τις εκτιμήσεις και τις επιλογές που έγιναν κατά την ανάλυση, θα υπάρξουν δυνητικές αντισταθμίσεις κατά την επίτευξη των οικονομικών, περιβαλλοντικών και κοινωνικών στόχων της ΚΓΠ καθώς και κατά τον επιθυμητό εκσυγχρονισμό και την απλούστευσή της. Συνοπτικά, η ανακατανομή θα μπορούσε να οδηγήσει σε διαχειρίσιμες επιπτώσεις στο εισόδημα και να στηρίξει την επιθυμητή αυξημένη φιλοδοξία της περιβαλλοντικής και κλιματικής δράσης και τις </w:t>
      </w:r>
      <w:r w:rsidRPr="005B0D19">
        <w:rPr>
          <w:b/>
          <w:noProof/>
        </w:rPr>
        <w:t>συμπράξεις της ΚΓΠ</w:t>
      </w:r>
      <w:r w:rsidRPr="005B0D19">
        <w:rPr>
          <w:noProof/>
        </w:rPr>
        <w:t>. Ωστόσο, κάτι τέτοιο θα υποχρέωνε τον γεωργικό τομέα και την γεωργική πολιτική να εκμεταλλευτούν τις ευκαιρίες που τους προσφέρουν οι καινοτομίες και οι τεχνολογίες που ήδη επιτρέπουν τον εκσυγχρονισμό και την απλούστευση.</w:t>
      </w:r>
    </w:p>
    <w:p w:rsidR="00A57BFD" w:rsidRPr="005B0D19" w:rsidRDefault="005B0D19">
      <w:pPr>
        <w:spacing w:before="0" w:after="240"/>
        <w:rPr>
          <w:noProof/>
        </w:rPr>
      </w:pPr>
      <w:r w:rsidRPr="005B0D19">
        <w:rPr>
          <w:noProof/>
        </w:rPr>
        <w:t xml:space="preserve">Άλλες εκτιμήσεις και επιλογές σίγουρα θα άλλαζαν αυτά τα λεπτομερή αποτελέσματα αλλά όχι το κύριο υποκείμενο μήνυμα – δηλαδή ότι </w:t>
      </w:r>
      <w:r w:rsidRPr="005B0D19">
        <w:rPr>
          <w:i/>
          <w:noProof/>
        </w:rPr>
        <w:t>η προτιμώμενη επιλογή για την ΚΓΠ του μέλλοντος θα πρέπει να συνδυάζει τα πιο αποτελεσματικά στοιχεία των διαφόρων επιλογών και να αποφεύγει τις αδυναμίες τους εισάγοντας δικλείδες ασφαλείας προκειμένου να διασφαλιστούν ισότιμοι όροι ανταγωνισμού σε ενωσιακό επίπεδο</w:t>
      </w:r>
      <w:r w:rsidRPr="005B0D19">
        <w:rPr>
          <w:noProof/>
        </w:rPr>
        <w:t>. Αυτό υπογραμμίζει την ανάγκη καθορισμού σαφών κριτηρίων σε ό,τι αφορά το επίπεδο και την κατανομή της ενίσχυσης του εισοδήματος (π.χ. επιβολή ανώτατου ορίου και/ή προοδευτική μείωση), τις κλιματικές και περιβαλλοντικές φιλοδοξίες, τις προϋποθέσεις, τα κίνητρα για τον εκσυγχρονισμό και τον κατάλληλο βαθμό επικουρικότητας/απλοποίησης.</w:t>
      </w:r>
    </w:p>
    <w:p w:rsidR="00A57BFD" w:rsidRPr="005B0D19" w:rsidRDefault="005B0D19">
      <w:pPr>
        <w:pStyle w:val="ManualHeading2"/>
        <w:rPr>
          <w:b w:val="0"/>
          <w:noProof/>
          <w:u w:color="000000"/>
          <w:bdr w:val="nil"/>
        </w:rPr>
      </w:pPr>
      <w:r w:rsidRPr="005B0D19">
        <w:rPr>
          <w:noProof/>
        </w:rPr>
        <w:t>•</w:t>
      </w:r>
      <w:r w:rsidRPr="005B0D19">
        <w:rPr>
          <w:noProof/>
        </w:rPr>
        <w:tab/>
      </w:r>
      <w:r w:rsidRPr="005B0D19">
        <w:rPr>
          <w:noProof/>
          <w:color w:val="000000"/>
          <w:u w:color="000000"/>
          <w:bdr w:val="nil"/>
        </w:rPr>
        <w:t>Καταλληλότητα</w:t>
      </w:r>
      <w:r w:rsidRPr="005B0D19">
        <w:rPr>
          <w:noProof/>
        </w:rPr>
        <w:t xml:space="preserve"> και απλούστευση του κανονιστικού πλαισίου</w:t>
      </w:r>
    </w:p>
    <w:p w:rsidR="00A57BFD" w:rsidRPr="005B0D19" w:rsidRDefault="005B0D19">
      <w:pPr>
        <w:rPr>
          <w:noProof/>
        </w:rPr>
      </w:pPr>
      <w:r w:rsidRPr="005B0D19">
        <w:rPr>
          <w:noProof/>
        </w:rPr>
        <w:t>Η πολυπλοκότητα της υλοποίησης της ισχύουσας πολιτικής συνδέεται σε μεγάλο βαθμό με την έμφαση που δίνεται στην τήρηση των λεπτομερών κανόνων, οι οποίοι καθορίζονται σε επίπεδο ΕΕ. Στο προτεινόμενο νέο μοντέλο υλοποίησης, το κριτήριο επιλεξιμότητας για τη στήριξη σε επίπεδο ΕΕ δεν θα υφίσταται, γεγονός που θα επιτρέπει στα κράτη μέλη να καθορίζουν τους πλέον κατάλληλους όρους επιλεξιμότητας ανά περίπτωση. Αυτό αναμένεται να οδηγήσει σε ουσιαστική απλούστευση.</w:t>
      </w:r>
    </w:p>
    <w:p w:rsidR="00A57BFD" w:rsidRPr="005B0D19" w:rsidRDefault="005B0D19">
      <w:pPr>
        <w:rPr>
          <w:noProof/>
        </w:rPr>
      </w:pPr>
      <w:r w:rsidRPr="005B0D19">
        <w:rPr>
          <w:noProof/>
        </w:rPr>
        <w:t xml:space="preserve">Ιστορικά, η ΚΓΠ εξελίχθηκε με διαδοχικές μεταρρυθμίσεις με διαφορετικά μέσα. Ορισμένες φορές ο συντονισμός των μέσων αυτών αποδείχθηκε δύσκολος. Η παρούσα πρόταση συγκεντρώνει όλους τους διαφορετικούς τρόπους στήριξης της ΚΓΠ σε ένα ενιαίο και συνεκτικό πλαίσιο που θα μειώσει το διοικητικό βάρος των διαδικασιών εφαρμογής της ΚΓΠ. </w:t>
      </w:r>
    </w:p>
    <w:p w:rsidR="00A57BFD" w:rsidRPr="005B0D19" w:rsidRDefault="005B0D19">
      <w:pPr>
        <w:pStyle w:val="ManualHeading2"/>
        <w:rPr>
          <w:b w:val="0"/>
          <w:noProof/>
          <w:u w:color="000000"/>
          <w:bdr w:val="nil"/>
        </w:rPr>
      </w:pPr>
      <w:r w:rsidRPr="005B0D19">
        <w:rPr>
          <w:noProof/>
        </w:rPr>
        <w:t>•</w:t>
      </w:r>
      <w:r w:rsidRPr="005B0D19">
        <w:rPr>
          <w:noProof/>
        </w:rPr>
        <w:tab/>
      </w:r>
      <w:r w:rsidRPr="005B0D19">
        <w:rPr>
          <w:noProof/>
          <w:color w:val="000000"/>
          <w:u w:color="000000"/>
          <w:bdr w:val="nil"/>
        </w:rPr>
        <w:t>Θεμελιώδη</w:t>
      </w:r>
      <w:r w:rsidRPr="005B0D19">
        <w:rPr>
          <w:noProof/>
        </w:rPr>
        <w:t xml:space="preserve"> δικαιώματα</w:t>
      </w:r>
    </w:p>
    <w:p w:rsidR="00A57BFD" w:rsidRPr="005B0D19" w:rsidRDefault="005B0D19">
      <w:pPr>
        <w:pBdr>
          <w:top w:val="nil"/>
          <w:left w:val="nil"/>
          <w:bottom w:val="nil"/>
          <w:right w:val="nil"/>
          <w:between w:val="nil"/>
          <w:bar w:val="nil"/>
        </w:pBdr>
        <w:spacing w:before="0" w:after="240"/>
        <w:rPr>
          <w:noProof/>
        </w:rPr>
      </w:pPr>
      <w:r w:rsidRPr="005B0D19">
        <w:rPr>
          <w:noProof/>
        </w:rPr>
        <w:t>Η παρούσα πρόταση σέβεται τα θεμελιώδη δικαιώματα και τηρεί τις αρχές που αναγνωρίζονται ιδίως από τον Χάρτη των Θεμελιωδών Δικαιωμάτων της Ευρωπαϊκής Ένωσης.</w:t>
      </w:r>
      <w:r w:rsidRPr="005B0D19">
        <w:rPr>
          <w:noProof/>
          <w:color w:val="0000FF"/>
        </w:rPr>
        <w:t xml:space="preserve"> </w:t>
      </w:r>
    </w:p>
    <w:p w:rsidR="00A57BFD" w:rsidRPr="005B0D19" w:rsidRDefault="005B0D19">
      <w:pPr>
        <w:pStyle w:val="ManualHeading1"/>
        <w:rPr>
          <w:b w:val="0"/>
          <w:smallCaps w:val="0"/>
          <w:noProof/>
        </w:rPr>
      </w:pPr>
      <w:r w:rsidRPr="005B0D19">
        <w:rPr>
          <w:noProof/>
        </w:rPr>
        <w:lastRenderedPageBreak/>
        <w:t>4.</w:t>
      </w:r>
      <w:r w:rsidRPr="005B0D19">
        <w:rPr>
          <w:noProof/>
        </w:rPr>
        <w:tab/>
        <w:t>ΔΗΜΟΣΙΟΝΟΜΙΚΕΣ ΕΠΙΠΤΩΣΕΙΣ</w:t>
      </w:r>
    </w:p>
    <w:p w:rsidR="00A57BFD" w:rsidRPr="005B0D19" w:rsidRDefault="005B0D19">
      <w:pPr>
        <w:rPr>
          <w:noProof/>
        </w:rPr>
      </w:pPr>
      <w:r w:rsidRPr="005B0D19">
        <w:rPr>
          <w:noProof/>
        </w:rPr>
        <w:t>Η πρόταση της Επιτροπής για το πολυετές δημοσιονομικό πλαίσιο για το 2021-2027 (</w:t>
      </w:r>
      <w:r>
        <w:rPr>
          <w:noProof/>
        </w:rPr>
        <w:t>COM</w:t>
      </w:r>
      <w:r w:rsidRPr="005B0D19">
        <w:rPr>
          <w:noProof/>
        </w:rPr>
        <w:t xml:space="preserve">(2018) 322 </w:t>
      </w:r>
      <w:r>
        <w:rPr>
          <w:noProof/>
        </w:rPr>
        <w:t>final</w:t>
      </w:r>
      <w:r w:rsidRPr="005B0D19">
        <w:rPr>
          <w:noProof/>
        </w:rPr>
        <w:t>) προβλέπει ότι ένα σημαντικό τμήμα του προϋπολογισμού της ΕΕ θα πρέπει να εξακολουθεί να διατίθεται στη γεωργία, η οποία αποτελεί κοινή πολιτική στρατηγικής σημασίας. Έτσι, σε τρέχουσες τιμές, προτείνεται η ΚΓΠ πρέπει να επικεντρωθεί στις βασικές δραστηριότητες της με 286,2</w:t>
      </w:r>
      <w:r>
        <w:rPr>
          <w:noProof/>
        </w:rPr>
        <w:t> </w:t>
      </w:r>
      <w:r w:rsidRPr="005B0D19">
        <w:rPr>
          <w:noProof/>
        </w:rPr>
        <w:t>δισ.</w:t>
      </w:r>
      <w:r>
        <w:rPr>
          <w:noProof/>
        </w:rPr>
        <w:t> EUR</w:t>
      </w:r>
      <w:r w:rsidRPr="005B0D19">
        <w:rPr>
          <w:noProof/>
        </w:rPr>
        <w:t xml:space="preserve"> για το Ευρωπαϊκό Γεωργικό Ταμείο Εγγυήσεων (ΕΓΤΕ) και 78,7</w:t>
      </w:r>
      <w:r>
        <w:rPr>
          <w:noProof/>
        </w:rPr>
        <w:t> </w:t>
      </w:r>
      <w:r w:rsidRPr="005B0D19">
        <w:rPr>
          <w:noProof/>
        </w:rPr>
        <w:t>δισ.</w:t>
      </w:r>
      <w:r>
        <w:rPr>
          <w:noProof/>
        </w:rPr>
        <w:t> EUR</w:t>
      </w:r>
      <w:r w:rsidRPr="005B0D19">
        <w:rPr>
          <w:noProof/>
        </w:rPr>
        <w:t xml:space="preserve"> για το Ευρωπαϊκό Γεωργικό Ταμείο Αγροτικής Ανάπτυξης (ΕΓΤΑΑ). </w:t>
      </w:r>
    </w:p>
    <w:p w:rsidR="00A57BFD" w:rsidRPr="005B0D19" w:rsidRDefault="005B0D19">
      <w:pPr>
        <w:rPr>
          <w:noProof/>
        </w:rPr>
      </w:pPr>
      <w:r w:rsidRPr="005B0D19">
        <w:rPr>
          <w:noProof/>
        </w:rPr>
        <w:t>Αυτά τα γεωργικά ταμεία συμπληρώνονται από πρόσθετη χρηματοδότηση από το πρόγραμμα «Ορίζων Ευρώπη», δεδομένου ότι το προτεινόμενο κονδύλιο για το πρόγραμμα αυτό περιλαμβάνει 10</w:t>
      </w:r>
      <w:r>
        <w:rPr>
          <w:noProof/>
        </w:rPr>
        <w:t> </w:t>
      </w:r>
      <w:r w:rsidRPr="005B0D19">
        <w:rPr>
          <w:noProof/>
        </w:rPr>
        <w:t>δισ.</w:t>
      </w:r>
      <w:r>
        <w:rPr>
          <w:noProof/>
        </w:rPr>
        <w:t> EUR</w:t>
      </w:r>
      <w:r w:rsidRPr="005B0D19">
        <w:rPr>
          <w:noProof/>
        </w:rPr>
        <w:t xml:space="preserve"> για τη στήριξη της έρευνας και της καινοτομίας στον τομέα των τροφίμων, της γεωργίας, της ανάπτυξης της υπαίθρου και της βιοοικονομίας. Στο ΕΓΤΕ θα δημιουργηθεί ένα νέο γεωργικό αποθεματικό για τη χρηματοδότηση της πρόσθετης στήριξης του γεωργικού τομέα. Τα μη χρησιμοποιηθέντα ποσά του αποθεματικού τον ένα χρόνο θα μεταφέρονται στον επόμενο. </w:t>
      </w:r>
    </w:p>
    <w:p w:rsidR="00A57BFD" w:rsidRPr="005B0D19" w:rsidRDefault="005B0D19">
      <w:pPr>
        <w:rPr>
          <w:noProof/>
        </w:rPr>
      </w:pPr>
      <w:r w:rsidRPr="005B0D19">
        <w:rPr>
          <w:noProof/>
        </w:rPr>
        <w:t>Όσον αφορά την κατανομή των άμεσων ενισχύσεων μεταξύ των κρατών μελών, προτείνεται τα κράτη μέλη με άμεσες ενισχύσεις κάτω του 90</w:t>
      </w:r>
      <w:r>
        <w:rPr>
          <w:noProof/>
        </w:rPr>
        <w:t> </w:t>
      </w:r>
      <w:r w:rsidRPr="005B0D19">
        <w:rPr>
          <w:noProof/>
        </w:rPr>
        <w:t>% του μέσου όρου της ΕΕ να συνεχίσουν τη διαδικασία που ξεκίνησε την περίοδο 2014-2020 και να κλείσουν κατά 50</w:t>
      </w:r>
      <w:r>
        <w:rPr>
          <w:noProof/>
        </w:rPr>
        <w:t> </w:t>
      </w:r>
      <w:r w:rsidRPr="005B0D19">
        <w:rPr>
          <w:noProof/>
        </w:rPr>
        <w:t>% το υφιστάμενο κενό μεταξύ του ποσοστού τους και του ορίου του 90</w:t>
      </w:r>
      <w:r>
        <w:rPr>
          <w:noProof/>
        </w:rPr>
        <w:t> </w:t>
      </w:r>
      <w:r w:rsidRPr="005B0D19">
        <w:rPr>
          <w:noProof/>
        </w:rPr>
        <w:t xml:space="preserve">%. Όλα τα κράτη μέλη θα συνεισφέρουν στη χρηματοδότηση αυτής της εξωτερικής σύγκλισης των επιπέδων των άμεσων ενισχύσεων. Τα κονδύλια των άμεσων ενισχύσεων των κρατών μελών στον κανονισμό στρατηγικού σχεδίου της ΚΓΠ υπολογίζεται στη βάση αυτή. </w:t>
      </w:r>
    </w:p>
    <w:p w:rsidR="00A57BFD" w:rsidRPr="005B0D19" w:rsidRDefault="005B0D19">
      <w:pPr>
        <w:rPr>
          <w:noProof/>
        </w:rPr>
      </w:pPr>
      <w:r w:rsidRPr="005B0D19">
        <w:rPr>
          <w:noProof/>
        </w:rPr>
        <w:t xml:space="preserve">Για την αγροτική ανάπτυξη, προτείνεται να αναπροσαρμοστεί η ισορροπία χρηματοδότησης μεταξύ της ΕΕ και των προϋπολογισμών των κρατών μελών. Σύμφωνα με τα προβλεπόμενα για τα Ευρωπαϊκά Διαρθρωτικά και Επενδυτικά Ταμεία, μια αύξηση των εθνικών ποσοστών συγχρηματοδότησης θα επιτρέψει να διατηρηθεί σε μεγάλο βαθμό αμετάβλητη η δημόσια στήριξη στις ευρωπαϊκές αγροτικές περιοχές. Η κατανομή της στήριξης του ΕΓΤΑΑ βασίζεται σε αντικειμενικά κριτήρια που συνδέονται με τους στόχους της πολιτικής και λαμβάνουν υπόψη την τρέχουσα κατανομή. Σύμφωνα με τα σημερινά δεδομένα, οι λιγότερο ανεπτυγμένες περιφέρειες θα εξακολουθήσουν να επωφελούνται από υψηλότερα ποσοστά συγχρηματοδότησης, τα οποία θα ισχύουν και για ορισμένα μέτρα όπως το πρόγραμμα </w:t>
      </w:r>
      <w:r>
        <w:rPr>
          <w:noProof/>
        </w:rPr>
        <w:t>LEADER</w:t>
      </w:r>
      <w:r w:rsidRPr="005B0D19">
        <w:rPr>
          <w:noProof/>
        </w:rPr>
        <w:t xml:space="preserve"> και τις ενισχύσεις για δεσμεύσεις διαχείρισης. </w:t>
      </w:r>
    </w:p>
    <w:p w:rsidR="00A57BFD" w:rsidRPr="005B0D19" w:rsidRDefault="005B0D19">
      <w:pPr>
        <w:rPr>
          <w:noProof/>
        </w:rPr>
      </w:pPr>
      <w:r w:rsidRPr="005B0D19">
        <w:rPr>
          <w:noProof/>
        </w:rPr>
        <w:t>Τα κράτη μέλη θα έχουν στη διάθεσή τους ένα ορισμένο επίπεδο ευελιξίας για τις μεταφορές κονδυλίων. Μέχρι και το 15</w:t>
      </w:r>
      <w:r>
        <w:rPr>
          <w:noProof/>
        </w:rPr>
        <w:t> </w:t>
      </w:r>
      <w:r w:rsidRPr="005B0D19">
        <w:rPr>
          <w:noProof/>
        </w:rPr>
        <w:t xml:space="preserve">% των αντίστοιχων άμεσων ενισχύσεων μπορεί να μεταφερθεί σε κονδύλια του ΕΓΤΑΑ και αντιστρόφως. Ένα υψηλότερο ποσοστό μπορεί να μεταφερθεί από τις άμεσες ενισχύσεις στα κονδύλια του ΕΓΤΑΑ για παρεμβάσεις που αφορούν περιβαλλοντικούς και κλιματικούς στόχους και επιχορηγήσεις εγκαταστάσεων για νέους γεωργούς. </w:t>
      </w:r>
    </w:p>
    <w:p w:rsidR="00A57BFD" w:rsidRPr="005B0D19" w:rsidRDefault="005B0D19">
      <w:pPr>
        <w:rPr>
          <w:noProof/>
        </w:rPr>
      </w:pPr>
      <w:r w:rsidRPr="005B0D19">
        <w:rPr>
          <w:noProof/>
        </w:rPr>
        <w:t>Λεπτομέρειες σχετικά με µε τις οικονομικές επιπτώσεις της πρότασης της ΚΓΠ περιλαμβάνονται στο δημοσιονομικό δελτίο που συνοδεύει την πρόταση.</w:t>
      </w:r>
    </w:p>
    <w:p w:rsidR="00A57BFD" w:rsidRPr="005B0D19" w:rsidRDefault="005B0D19">
      <w:pPr>
        <w:pStyle w:val="ManualHeading1"/>
        <w:rPr>
          <w:b w:val="0"/>
          <w:smallCaps w:val="0"/>
          <w:noProof/>
        </w:rPr>
      </w:pPr>
      <w:r w:rsidRPr="005B0D19">
        <w:rPr>
          <w:noProof/>
        </w:rPr>
        <w:t>5.</w:t>
      </w:r>
      <w:r w:rsidRPr="005B0D19">
        <w:rPr>
          <w:noProof/>
        </w:rPr>
        <w:tab/>
        <w:t>ΛΟΙΠΑ ΣΤΟΙΧΕΙΑ</w:t>
      </w:r>
    </w:p>
    <w:p w:rsidR="00A57BFD" w:rsidRPr="005B0D19" w:rsidRDefault="005B0D19">
      <w:pPr>
        <w:pStyle w:val="ManualHeading2"/>
        <w:rPr>
          <w:b w:val="0"/>
          <w:noProof/>
          <w:u w:color="000000"/>
          <w:bdr w:val="nil"/>
        </w:rPr>
      </w:pPr>
      <w:r w:rsidRPr="005B0D19">
        <w:rPr>
          <w:noProof/>
        </w:rPr>
        <w:t>•</w:t>
      </w:r>
      <w:r w:rsidRPr="005B0D19">
        <w:rPr>
          <w:noProof/>
        </w:rPr>
        <w:tab/>
        <w:t xml:space="preserve">Σχέδια </w:t>
      </w:r>
      <w:r w:rsidRPr="005B0D19">
        <w:rPr>
          <w:noProof/>
          <w:color w:val="000000"/>
          <w:u w:color="000000"/>
          <w:bdr w:val="nil"/>
        </w:rPr>
        <w:t>εφαρμογής</w:t>
      </w:r>
      <w:r w:rsidRPr="005B0D19">
        <w:rPr>
          <w:noProof/>
        </w:rPr>
        <w:t xml:space="preserve"> και ρυθμίσεις παρακολούθησης, αξιολόγησης και υποβολής εκθέσεων</w:t>
      </w:r>
    </w:p>
    <w:p w:rsidR="00A57BFD" w:rsidRPr="005B0D19" w:rsidRDefault="005B0D19">
      <w:pPr>
        <w:spacing w:before="100" w:beforeAutospacing="1" w:after="100" w:afterAutospacing="1"/>
        <w:rPr>
          <w:noProof/>
        </w:rPr>
      </w:pPr>
      <w:r w:rsidRPr="005B0D19">
        <w:rPr>
          <w:noProof/>
        </w:rPr>
        <w:t xml:space="preserve">Μια στροφή προς μια πολιτική περισσότερο προσανατολισμένη προς την απόδοση απαιτεί την καθιέρωση ενός πλαισίου σταθερών επιδόσεων που, βάσει ενός συνόλου κοινών δεικτών, </w:t>
      </w:r>
      <w:r w:rsidRPr="005B0D19">
        <w:rPr>
          <w:noProof/>
        </w:rPr>
        <w:lastRenderedPageBreak/>
        <w:t xml:space="preserve">θα επιτρέπει στην Επιτροπή να αξιολογεί και να παρακολουθεί τις επιδόσεις της πολιτικής. Το ισχύον </w:t>
      </w:r>
      <w:r w:rsidRPr="005B0D19">
        <w:rPr>
          <w:b/>
          <w:noProof/>
        </w:rPr>
        <w:t>κοινό πλαίσιο παρακολούθησης και αξιολόγησης, (ΚΠΠΑ)</w:t>
      </w:r>
      <w:r w:rsidRPr="005B0D19">
        <w:rPr>
          <w:noProof/>
        </w:rPr>
        <w:t xml:space="preserve"> και το ισχύον σύστημα παρακολούθησης των άμεσων ενισχύσεων και της αγροτικής ανάπτυξης θα χρησιμοποιηθούν ως βάση για την παρακολούθηση και την αξιολόγηση των επιδόσεων της πολιτικής, αλλά θα πρέπει να εξορθολογιστούν και να αναπτυχθούν περαιτέρω (συμπεριλαμβανομένης της συνοχής μεταξύ των δύο πυλώνων). Θα χρειαστούν περαιτέρω επενδύσεις για την ανάπτυξη κατάλληλων δεικτών και την διασφάλιση επαρκών ροών δεδομένων.</w:t>
      </w:r>
    </w:p>
    <w:p w:rsidR="00A57BFD" w:rsidRPr="005B0D19" w:rsidRDefault="005B0D19">
      <w:pPr>
        <w:spacing w:before="0" w:after="200"/>
        <w:rPr>
          <w:noProof/>
        </w:rPr>
      </w:pPr>
      <w:r w:rsidRPr="005B0D19">
        <w:rPr>
          <w:noProof/>
        </w:rPr>
        <w:t xml:space="preserve">Ένα νέο </w:t>
      </w:r>
      <w:r w:rsidRPr="005B0D19">
        <w:rPr>
          <w:b/>
          <w:noProof/>
        </w:rPr>
        <w:t>πλαίσιο παρακολούθησης και αξιολόγησης των επιδόσεων</w:t>
      </w:r>
      <w:r w:rsidRPr="005B0D19">
        <w:rPr>
          <w:noProof/>
        </w:rPr>
        <w:t xml:space="preserve"> θα καλύψει όλα τα μέσα της μελλοντικής ΚΓΠ:  τα στρατηγικά σχέδια της ΚΓΠ αλλά και όσα στοιχεία δεν καλύπτονται από αυτά (τμήματα της κοινής οργάνωσης της ενιαίας αγοράς, ειδικά καθεστώτα). Οι επιδόσεις θα αξιολογούνται σε σχέση με τους ειδικούς στόχους της πολιτικής, χρησιμοποιώντας ένα σύνολο κοινών δεικτών.</w:t>
      </w:r>
    </w:p>
    <w:p w:rsidR="00A57BFD" w:rsidRPr="005B0D19" w:rsidRDefault="005B0D19">
      <w:pPr>
        <w:rPr>
          <w:noProof/>
        </w:rPr>
      </w:pPr>
      <w:r w:rsidRPr="005B0D19">
        <w:rPr>
          <w:noProof/>
        </w:rPr>
        <w:t>Το νέο μοντέλο θα οργανωθεί γύρω από τις ακόλουθες αρχές:</w:t>
      </w:r>
    </w:p>
    <w:p w:rsidR="00A57BFD" w:rsidRPr="005B0D19" w:rsidRDefault="005B0D19">
      <w:pPr>
        <w:pStyle w:val="ListBullet1"/>
        <w:rPr>
          <w:noProof/>
        </w:rPr>
      </w:pPr>
      <w:r w:rsidRPr="005B0D19">
        <w:rPr>
          <w:noProof/>
        </w:rPr>
        <w:t>Οι δείκτες πλαισίου εξακολουθούν να ισχύουν, δεδομένου ότι αντικατοπτρίζουν συναφείς πτυχές των γενικών τάσεων της οικονομίας, του περιβάλλοντος και της κοινωνίας και είναι πιθανό να επηρεάσουν τις επιδόσεις.</w:t>
      </w:r>
    </w:p>
    <w:p w:rsidR="00A57BFD" w:rsidRPr="005B0D19" w:rsidRDefault="005B0D19">
      <w:pPr>
        <w:pStyle w:val="ListBullet1"/>
        <w:rPr>
          <w:noProof/>
        </w:rPr>
      </w:pPr>
      <w:r w:rsidRPr="005B0D19">
        <w:rPr>
          <w:noProof/>
        </w:rPr>
        <w:t>Ένα περιορισμένο αλλά πιο στοχευμένο σύνολο δεικτών πρέπει να συλλεχθεί ώστε να επιλεχθούν όσοι αποδίδουν καλύτερα το κατά πόσο η στήριξη που παρέχεται συμβάλλει στην επίτευξη των στόχων έναντι των καθορισμένων επιπέδων αναφοράς και στη χρήση σαφών ορισμών.</w:t>
      </w:r>
    </w:p>
    <w:p w:rsidR="00A57BFD" w:rsidRPr="005B0D19" w:rsidRDefault="005B0D19">
      <w:pPr>
        <w:pStyle w:val="ListBullet1"/>
        <w:rPr>
          <w:noProof/>
        </w:rPr>
      </w:pPr>
      <w:r w:rsidRPr="005B0D19">
        <w:rPr>
          <w:noProof/>
        </w:rPr>
        <w:t>Οι συνολικές επιδόσεις της πολιτικής θα αξιολογούνται με βάση τους δείκτες επιπτώσεων σε πολυετή βάση. Η ετήσια παρακολούθηση των επιδόσεων της πολιτικής θα βασίζεται στον πλήρη κατάλογο των δεικτών αποτελεσμάτων.</w:t>
      </w:r>
    </w:p>
    <w:p w:rsidR="00A57BFD" w:rsidRPr="005B0D19" w:rsidRDefault="005B0D19">
      <w:pPr>
        <w:pStyle w:val="ListBullet1"/>
        <w:rPr>
          <w:noProof/>
        </w:rPr>
      </w:pPr>
      <w:r w:rsidRPr="005B0D19">
        <w:rPr>
          <w:noProof/>
        </w:rPr>
        <w:t>Οι δείκτες αποτελεσμάτων θα συνδέουν τις δαπάνες με τις επιδόσεις της εφαρμογής της πολιτικής σε ετήσια βάση. Πρόκειται για μια ετήσια άσκηση που βασίζεται σε έναν κατάλογο (κατά βάση, ήδη διαθέσιμων) δεικτών αποτελεσμάτων.</w:t>
      </w:r>
    </w:p>
    <w:p w:rsidR="00A57BFD" w:rsidRPr="005B0D19" w:rsidRDefault="005B0D19">
      <w:pPr>
        <w:pStyle w:val="ListBullet1"/>
        <w:rPr>
          <w:noProof/>
        </w:rPr>
      </w:pPr>
      <w:r w:rsidRPr="005B0D19">
        <w:rPr>
          <w:noProof/>
        </w:rPr>
        <w:t>Η αξιοπιστία των σχετικών δεικτών επιδόσεων μπορεί να διευκολύνεται από το συνδυασμό στατιστικών και διοικητικών δεδομένων, αλλά απαιτεί την ύπαρξη συστήματος ελέγχου ποιότητας.</w:t>
      </w:r>
    </w:p>
    <w:p w:rsidR="00A57BFD" w:rsidRPr="005B0D19" w:rsidRDefault="005B0D19">
      <w:pPr>
        <w:spacing w:after="240"/>
        <w:rPr>
          <w:noProof/>
        </w:rPr>
      </w:pPr>
      <w:r w:rsidRPr="005B0D19">
        <w:rPr>
          <w:noProof/>
        </w:rPr>
        <w:t>Στην ουσία, προτείνεται μια μεταβολή στις αρμοδιότητες και τις ευκαιρίες εντός ενός κοινού πλαισίου, σαφώς καθορισμένου και εφαρμόσιμου, να επιτυγχάνει ταυτόχρονα περισσότερους από ένας βασικούς στόχους, όπως η απλοποίηση, ο προσανατολισμός προς τα αποτελέσματα (και όχι συμμόρφωση) και αποτελεσματικότητα και απόδοση της πολιτικής.</w:t>
      </w:r>
    </w:p>
    <w:p w:rsidR="00A57BFD" w:rsidRPr="005B0D19" w:rsidRDefault="005B0D19">
      <w:pPr>
        <w:spacing w:before="0" w:after="240"/>
        <w:rPr>
          <w:noProof/>
        </w:rPr>
      </w:pPr>
      <w:r w:rsidRPr="005B0D19">
        <w:rPr>
          <w:noProof/>
        </w:rPr>
        <w:t xml:space="preserve">Προβλέπεται μια ετήσια αξιολόγηση των επιδόσεων ως βασικό στοιχείο της συνεχιζόμενης παρακολούθησης και καθοδήγησης της εφαρμογής της πολιτικής. Θα πρέπει να υποβάλλονται όλοι οι δείκτες αποτελεσμάτων σε μια ετήσια έκθεση για την εφαρμογή του στρατηγικού σχεδίου της ΚΓΠ, τη λεγόμενη </w:t>
      </w:r>
      <w:r w:rsidRPr="005B0D19">
        <w:rPr>
          <w:i/>
          <w:noProof/>
        </w:rPr>
        <w:t>ετήσια έκθεση επιδόσεων</w:t>
      </w:r>
      <w:r w:rsidRPr="005B0D19">
        <w:rPr>
          <w:noProof/>
        </w:rPr>
        <w:t>, προκειμένου η ετήσια αξιολόγηση να είναι λειτουργική. Τα κράτη μέλη θα υποβάλλουν ετήσια έκθεση σχετικά με τις εκροές και τις δαπάνες καθώς και την απόσταση που έχει καλυφθεί για την επίτευξη των στόχων όλης της περιόδου, εκφρασμένα ως τιμές δεικτών αποτελεσμάτων.</w:t>
      </w:r>
    </w:p>
    <w:p w:rsidR="00A57BFD" w:rsidRPr="005B0D19" w:rsidRDefault="005B0D19">
      <w:pPr>
        <w:spacing w:before="0" w:after="200"/>
        <w:rPr>
          <w:rFonts w:eastAsia="Arial Unicode MS"/>
          <w:noProof/>
        </w:rPr>
      </w:pPr>
      <w:r w:rsidRPr="005B0D19">
        <w:rPr>
          <w:noProof/>
        </w:rPr>
        <w:lastRenderedPageBreak/>
        <w:t>Θα διενεργηθούν αξιολογήσεις σύμφωνα με τις παραγράφους 22 και 23 της Διοργανικής Συμφωνίας της 13ης Απριλίου 2016</w:t>
      </w:r>
      <w:r>
        <w:rPr>
          <w:rStyle w:val="af7"/>
          <w:noProof/>
        </w:rPr>
        <w:footnoteReference w:id="8"/>
      </w:r>
      <w:r w:rsidRPr="005B0D19">
        <w:rPr>
          <w:noProof/>
        </w:rPr>
        <w:t>, στην οποία τα τρία θεσμικά όργανα επιβεβαίωσαν ότι οι αξιολογήσεις της ισχύουσας νομοθεσίας και πολιτικής θα πρέπει να αποτελούν τη βάση για τις εκτιμήσεις των επιπτώσεων των επιλογών περαιτέρω δράσης. Στις αξιολογήσεις θα εκτιμούνται τα αποτελέσματα του προγράμματος βάσει των δεικτών/στόχων του προγράμματος και λεπτομερούς ανάλυσης του βαθμού στον οποίο μπορεί να θεωρηθεί ότι το πρόγραμμα είναι κατάλληλο, αποτελεσματικό και αποδοτικό, παρέχει επαρκή ενωσιακή προστιθέμενη αξία και συνάδει με άλλες πολιτικές της ΕΕ. Οι αξιολογήσεις θα περιλαμβάνουν τα διδάγματα που αντλήθηκαν όσον αφορά τον εντοπισμό τυχόν ελλείψεων/προβλημάτων ή τυχόν δυνατοτήτων για περαιτέρω βελτίωση των δράσεων και των αποτελεσμάτων τους και για να μπορέσει να μεγιστοποιηθεί η αξιοποίηση/ο αντίκτυπός τους.</w:t>
      </w:r>
    </w:p>
    <w:p w:rsidR="00A57BFD" w:rsidRPr="005B0D19" w:rsidRDefault="005B0D19">
      <w:pPr>
        <w:pStyle w:val="ManualHeading2"/>
        <w:rPr>
          <w:b w:val="0"/>
          <w:noProof/>
          <w:u w:color="000000"/>
          <w:bdr w:val="nil"/>
        </w:rPr>
      </w:pPr>
      <w:r w:rsidRPr="005B0D19">
        <w:rPr>
          <w:noProof/>
        </w:rPr>
        <w:t>•</w:t>
      </w:r>
      <w:r w:rsidRPr="005B0D19">
        <w:rPr>
          <w:noProof/>
        </w:rPr>
        <w:tab/>
      </w:r>
      <w:r w:rsidRPr="005B0D19">
        <w:rPr>
          <w:noProof/>
          <w:color w:val="000000"/>
          <w:u w:color="000000"/>
          <w:bdr w:val="nil"/>
        </w:rPr>
        <w:t>Επεξηγηματικά</w:t>
      </w:r>
      <w:r w:rsidRPr="005B0D19">
        <w:rPr>
          <w:noProof/>
        </w:rPr>
        <w:t xml:space="preserve"> έγγραφα (για οδηγίες)</w:t>
      </w:r>
    </w:p>
    <w:p w:rsidR="00A57BFD" w:rsidRPr="005B0D19" w:rsidRDefault="005B0D19">
      <w:pPr>
        <w:pBdr>
          <w:top w:val="nil"/>
          <w:left w:val="nil"/>
          <w:bottom w:val="nil"/>
          <w:right w:val="nil"/>
          <w:between w:val="nil"/>
          <w:bar w:val="nil"/>
        </w:pBdr>
        <w:spacing w:before="0" w:after="240"/>
        <w:rPr>
          <w:noProof/>
        </w:rPr>
      </w:pPr>
      <w:r w:rsidRPr="005B0D19">
        <w:rPr>
          <w:noProof/>
        </w:rPr>
        <w:t xml:space="preserve">Άνευ αντικειμένου. </w:t>
      </w:r>
    </w:p>
    <w:p w:rsidR="00A57BFD" w:rsidRPr="005B0D19" w:rsidRDefault="005B0D19">
      <w:pPr>
        <w:pStyle w:val="ManualHeading2"/>
        <w:rPr>
          <w:b w:val="0"/>
          <w:noProof/>
          <w:u w:color="000000"/>
          <w:bdr w:val="nil"/>
        </w:rPr>
      </w:pPr>
      <w:r w:rsidRPr="005B0D19">
        <w:rPr>
          <w:noProof/>
        </w:rPr>
        <w:t>•</w:t>
      </w:r>
      <w:r w:rsidRPr="005B0D19">
        <w:rPr>
          <w:noProof/>
        </w:rPr>
        <w:tab/>
        <w:t xml:space="preserve">Αναλυτική </w:t>
      </w:r>
      <w:r w:rsidRPr="005B0D19">
        <w:rPr>
          <w:noProof/>
          <w:color w:val="000000"/>
          <w:u w:color="000000"/>
          <w:bdr w:val="nil"/>
        </w:rPr>
        <w:t>επεξήγηση</w:t>
      </w:r>
      <w:r w:rsidRPr="005B0D19">
        <w:rPr>
          <w:noProof/>
        </w:rPr>
        <w:t xml:space="preserve"> των επιμέρους διατάξεων της πρότασης</w:t>
      </w:r>
    </w:p>
    <w:p w:rsidR="00A57BFD" w:rsidRPr="005B0D19" w:rsidRDefault="005B0D19">
      <w:pPr>
        <w:pBdr>
          <w:top w:val="nil"/>
          <w:left w:val="nil"/>
          <w:bottom w:val="nil"/>
          <w:right w:val="nil"/>
          <w:between w:val="nil"/>
          <w:bar w:val="nil"/>
        </w:pBdr>
        <w:spacing w:before="0" w:after="240"/>
        <w:rPr>
          <w:noProof/>
        </w:rPr>
      </w:pPr>
      <w:r w:rsidRPr="005B0D19">
        <w:rPr>
          <w:noProof/>
        </w:rPr>
        <w:t>Η πρόταση αφορά τους ακόλουθους τρεις κανονισμούς:</w:t>
      </w:r>
    </w:p>
    <w:p w:rsidR="00A57BFD" w:rsidRPr="005B0D19" w:rsidRDefault="005B0D19">
      <w:pPr>
        <w:pStyle w:val="ListBullet1"/>
        <w:rPr>
          <w:noProof/>
        </w:rPr>
      </w:pPr>
      <w:r w:rsidRPr="005B0D19">
        <w:rPr>
          <w:noProof/>
        </w:rPr>
        <w:t xml:space="preserve">Τον κανονισμό του Ευρωπαϊκού Κοινοβουλίου και του Συμβουλίου για τη θέσπιση κανόνων για την υποστήριξη της κατάρτισης στρατηγικών σχεδίων από τα κράτη μέλη στο πλαίσιο της κοινής γεωργικής πολιτικής (στρατηγικά σχέδια της ΚΓΠ) που θα χρηματοδοτούνται από το Ευρωπαϊκό Γεωργικό Ταμείο Εγγυήσεων (ΕΓΤΕ) και το Ευρωπαϊκό Γεωργικό Ταμείο Αγροτικής Ανάπτυξης (ΕΓΤΑΑ) και για την κατάργηση του κανονισμού (ΕΕ) αριθ. 1305/2013 του Ευρωπαϊκού Κοινοβουλίου και του Συμβουλίου και του κανονισμού (ΕΕ) </w:t>
      </w:r>
      <w:r>
        <w:rPr>
          <w:noProof/>
        </w:rPr>
        <w:t>No</w:t>
      </w:r>
      <w:r w:rsidRPr="005B0D19">
        <w:rPr>
          <w:noProof/>
        </w:rPr>
        <w:t xml:space="preserve"> 1307/2013 του Ευρωπαϊκού Κοινοβουλίου και του Συμβουλίου (εφεξής: κανονισμός για το στρατηγικό σχέδιο της ΚΓΠ)</w:t>
      </w:r>
    </w:p>
    <w:p w:rsidR="00A57BFD" w:rsidRDefault="005B0D19">
      <w:pPr>
        <w:pStyle w:val="ListBullet1"/>
        <w:rPr>
          <w:noProof/>
        </w:rPr>
      </w:pPr>
      <w:r w:rsidRPr="005B0D19">
        <w:rPr>
          <w:noProof/>
        </w:rPr>
        <w:t xml:space="preserve">Τον κανονισμό του Ευρωπαϊκού Κοινοβουλίου και του Συμβουλίου σχετικά με τη χρηματοδότηση, τη διαχείριση και την παρακολούθηση της κοινής γεωργικής πολιτικής και την κατάργηση του κανονισμού (ΕΕ) αριθ. </w:t>
      </w:r>
      <w:r>
        <w:rPr>
          <w:noProof/>
        </w:rPr>
        <w:t>1306/2013 (εφεξής: οριζόντιος κανονισμός για την ΚΓΠ)</w:t>
      </w:r>
    </w:p>
    <w:p w:rsidR="00A57BFD" w:rsidRPr="005B0D19" w:rsidRDefault="005B0D19">
      <w:pPr>
        <w:pStyle w:val="ListBullet1"/>
        <w:rPr>
          <w:noProof/>
        </w:rPr>
      </w:pPr>
      <w:r w:rsidRPr="005B0D19">
        <w:rPr>
          <w:noProof/>
        </w:rPr>
        <w:t>Τον κανονισμό του Ευρωπαϊκού Κοινοβουλίου και του Συμβουλίου για την τροποποίηση του κανονισμού (ΕΕ) αριθ. 1308/2013 σχετικά με τη θέσπιση κοινής οργάνωσης των αγορών των γεωργικών προϊόντων, του κανονισμού (ΕΕ) αριθ. 1151/2012 σχετικά με τα συστήματα ποιότητας για τα γεωργικά προϊόντα και τα τρόφιμα, του κανονισμού (ΕΕ) αριθ. 251/2014 σχετικά με τον ορισμό, την περιγραφή, την παρουσίαση, την επισήμανση και την προστασία των γεωγραφικών ενδείξεων των αρωματισμένων αμπελοοινικών προϊόντων, του κανονισμού (ΕΕ) αριθ. 228/2013 για τον καθορισμό ειδικών μέτρων για τη γεωργία στις εξόχως απόκεντρες περιοχές της Ένωσης και του κανονισμού (ΕΕ) αριθ. 229/2013 για τη θέσπιση ειδικών μέτρων για τη γεωργία υπέρ των γεωργικών προϊόντων και των τροφίμων στα μικρά νησιά του Αιγαίου (εφεξής: τροποποιητικός κανονισμός)</w:t>
      </w:r>
    </w:p>
    <w:p w:rsidR="00A57BFD" w:rsidRPr="005B0D19" w:rsidRDefault="005B0D19">
      <w:pPr>
        <w:pBdr>
          <w:top w:val="nil"/>
          <w:left w:val="nil"/>
          <w:bottom w:val="nil"/>
          <w:right w:val="nil"/>
          <w:between w:val="nil"/>
          <w:bar w:val="nil"/>
        </w:pBdr>
        <w:spacing w:before="0" w:after="240"/>
        <w:rPr>
          <w:noProof/>
        </w:rPr>
      </w:pPr>
      <w:r w:rsidRPr="005B0D19">
        <w:rPr>
          <w:noProof/>
        </w:rPr>
        <w:lastRenderedPageBreak/>
        <w:t>Ο συνδυασμός των ανωτέρω κανονισμών τροποποιούν την ΚΓΠ ευθυγραμμίζοντας τους στόχους της με τις προτεραιότητες Γιούνκερ και τους ΣΒΑ ενώ ταυτόχρονα απλοποιούν την εφαρμογή της πολιτικής. Η ΚΓΠ θα προσαρμοστεί στις τοπικές συνθήκες μετά την κατάργηση των όρων επιλεξιμότητας για την παροχή στήριξης σε επίπεδο ΕΕ. Τα κράτη μέλη θα ορίζουν τα ίδια τους περισσότερους όρους επιλεξιμότητας σε εθνικό επίπεδο προκειμένου να εξυπηρετήσουν τις δικές τους ιδιαίτερες καταστάσεις. Ταυτόχρονα, ο διοικητικός φόρτος που συνδέεται με τους ελέγχους θα μειωθεί με τον περιορισμό της άμεσης σύνδεσης των όρων επιλεξιμότητας σε επίπεδο ΕΕ και των τελικών δικαιούχων.</w:t>
      </w:r>
    </w:p>
    <w:p w:rsidR="00A57BFD" w:rsidRPr="005B0D19" w:rsidRDefault="005B0D19">
      <w:pPr>
        <w:rPr>
          <w:noProof/>
        </w:rPr>
      </w:pPr>
      <w:r w:rsidRPr="005B0D19">
        <w:rPr>
          <w:noProof/>
        </w:rPr>
        <w:t>Με στόχο την περαιτέρω βελτίωση της βιώσιμης ανάπτυξης της γεωργίας, της παραγωγής τροφίμων και των αγροτικών περιοχών, οι γενικοί στόχοι της ΚΓΠ εστιάζουν στην οικονομική βιωσιμότητα, την ανθεκτικότητα και το εισόδημα των γεωργικών εκμεταλλεύσεων, στη βελτίωση των περιβαλλοντικών και κλιματικών επιδόσεων, καθώς και στην ενίσχυση του κοινωνικο-οικονομικού ιστού των αγροτικών περιοχών. Επιπλέον, η προώθηση της γνώσης, της καινοτομίας και της ψηφιοποίησης στον τομέα της γεωργίας και στις αγροτικές περιοχές είναι ένας οριζόντιος στόχος πολιτικής.</w:t>
      </w:r>
    </w:p>
    <w:p w:rsidR="00A57BFD" w:rsidRPr="005B0D19" w:rsidRDefault="005B0D19">
      <w:pPr>
        <w:pBdr>
          <w:top w:val="nil"/>
          <w:left w:val="nil"/>
          <w:bottom w:val="nil"/>
          <w:right w:val="nil"/>
          <w:between w:val="nil"/>
          <w:bar w:val="nil"/>
        </w:pBdr>
        <w:spacing w:before="0" w:after="240"/>
        <w:rPr>
          <w:noProof/>
        </w:rPr>
      </w:pPr>
      <w:r w:rsidRPr="005B0D19">
        <w:rPr>
          <w:noProof/>
        </w:rPr>
        <w:t>Η νέα ΚΓΠ θα επιδιώξει τους ακόλουθους ειδικούς στόχους:</w:t>
      </w:r>
    </w:p>
    <w:p w:rsidR="00A57BFD" w:rsidRPr="005B0D19" w:rsidRDefault="005B0D19">
      <w:pPr>
        <w:pStyle w:val="Point0"/>
        <w:rPr>
          <w:noProof/>
        </w:rPr>
      </w:pPr>
      <w:r w:rsidRPr="005B0D19">
        <w:rPr>
          <w:noProof/>
        </w:rPr>
        <w:t>α)</w:t>
      </w:r>
      <w:r w:rsidRPr="005B0D19">
        <w:rPr>
          <w:noProof/>
        </w:rPr>
        <w:tab/>
        <w:t>Στήριξη του βιώσιμου αγροτικού εισοδήματος και της ανθεκτικότητας σε ολόκληρη την επικράτεια της ΕΕ για την ενίσχυση της επισιτιστικής ασφάλειας·</w:t>
      </w:r>
    </w:p>
    <w:p w:rsidR="00A57BFD" w:rsidRPr="005B0D19" w:rsidRDefault="005B0D19">
      <w:pPr>
        <w:pStyle w:val="Point0"/>
        <w:rPr>
          <w:noProof/>
        </w:rPr>
      </w:pPr>
      <w:r w:rsidRPr="005B0D19">
        <w:rPr>
          <w:noProof/>
        </w:rPr>
        <w:t>β)</w:t>
      </w:r>
      <w:r w:rsidRPr="005B0D19">
        <w:rPr>
          <w:noProof/>
        </w:rPr>
        <w:tab/>
        <w:t>Ενίσχυση του προσανατολισμού προς την αγορά και αύξηση της ανταγωνιστικότητας, μεταξύ άλλων δίνοντας μεγαλύτερη βαρύτητα στην έρευνα, την τεχνολογία και την ψηφιοποίηση·</w:t>
      </w:r>
    </w:p>
    <w:p w:rsidR="00A57BFD" w:rsidRPr="005B0D19" w:rsidRDefault="005B0D19">
      <w:pPr>
        <w:pStyle w:val="Point0"/>
        <w:rPr>
          <w:noProof/>
        </w:rPr>
      </w:pPr>
      <w:r w:rsidRPr="005B0D19">
        <w:rPr>
          <w:noProof/>
        </w:rPr>
        <w:t>γ)</w:t>
      </w:r>
      <w:r w:rsidRPr="005B0D19">
        <w:rPr>
          <w:noProof/>
        </w:rPr>
        <w:tab/>
        <w:t>Βελτίωση της θέσης των αγροτών στην αλυσίδα αξίας·</w:t>
      </w:r>
    </w:p>
    <w:p w:rsidR="00A57BFD" w:rsidRPr="005B0D19" w:rsidRDefault="005B0D19">
      <w:pPr>
        <w:pStyle w:val="Point0"/>
        <w:rPr>
          <w:noProof/>
        </w:rPr>
      </w:pPr>
      <w:r w:rsidRPr="005B0D19">
        <w:rPr>
          <w:noProof/>
        </w:rPr>
        <w:t>δ)</w:t>
      </w:r>
      <w:r w:rsidRPr="005B0D19">
        <w:rPr>
          <w:noProof/>
        </w:rPr>
        <w:tab/>
        <w:t>Συμβολή στον μετριασμό της κλιματικής αλλαγής και στην προσαρμογή σε αυτήν, καθώς και στη βιώσιμη ενέργεια·</w:t>
      </w:r>
    </w:p>
    <w:p w:rsidR="00A57BFD" w:rsidRPr="005B0D19" w:rsidRDefault="005B0D19">
      <w:pPr>
        <w:pStyle w:val="Point0"/>
        <w:rPr>
          <w:noProof/>
        </w:rPr>
      </w:pPr>
      <w:r w:rsidRPr="005B0D19">
        <w:rPr>
          <w:noProof/>
        </w:rPr>
        <w:t>ε)</w:t>
      </w:r>
      <w:r w:rsidRPr="005B0D19">
        <w:rPr>
          <w:noProof/>
        </w:rPr>
        <w:tab/>
        <w:t>Προώθηση της βιώσιμης ανάπτυξης και της αποτελεσματικής διαχείρισης των φυσικών πόρων, όπως το νερό, το έδαφος και ο αέρας·</w:t>
      </w:r>
    </w:p>
    <w:p w:rsidR="00A57BFD" w:rsidRPr="005B0D19" w:rsidRDefault="005B0D19">
      <w:pPr>
        <w:pStyle w:val="Point0"/>
        <w:rPr>
          <w:noProof/>
        </w:rPr>
      </w:pPr>
      <w:r w:rsidRPr="005B0D19">
        <w:rPr>
          <w:noProof/>
        </w:rPr>
        <w:t>στ)</w:t>
      </w:r>
      <w:r w:rsidRPr="005B0D19">
        <w:rPr>
          <w:noProof/>
        </w:rPr>
        <w:tab/>
        <w:t xml:space="preserve">Συμβολή στην προστασία της βιοποικιλότητας, ενίσχυση των υπηρεσιών οικοσυστήματος και διατήρηση οικοτόπων και τοπίων· </w:t>
      </w:r>
    </w:p>
    <w:p w:rsidR="00A57BFD" w:rsidRPr="005B0D19" w:rsidRDefault="005B0D19">
      <w:pPr>
        <w:pStyle w:val="Point0"/>
        <w:rPr>
          <w:noProof/>
        </w:rPr>
      </w:pPr>
      <w:r w:rsidRPr="005B0D19">
        <w:rPr>
          <w:noProof/>
        </w:rPr>
        <w:t>ζ)</w:t>
      </w:r>
      <w:r w:rsidRPr="005B0D19">
        <w:rPr>
          <w:noProof/>
        </w:rPr>
        <w:tab/>
        <w:t>Προσέλκυση νέων αγροτών και διευκόλυνση της ανάπτυξης επιχειρήσεων στις αγροτικές περιοχές·</w:t>
      </w:r>
    </w:p>
    <w:p w:rsidR="00A57BFD" w:rsidRPr="005B0D19" w:rsidRDefault="005B0D19">
      <w:pPr>
        <w:pStyle w:val="Point0"/>
        <w:rPr>
          <w:noProof/>
        </w:rPr>
      </w:pPr>
      <w:r w:rsidRPr="005B0D19">
        <w:rPr>
          <w:noProof/>
        </w:rPr>
        <w:t>η)</w:t>
      </w:r>
      <w:r w:rsidRPr="005B0D19">
        <w:rPr>
          <w:noProof/>
        </w:rPr>
        <w:tab/>
        <w:t>Προώθηση της απασχόλησης, της ανάπτυξης, της κοινωνικής ένταξης και της τοπικής ανάπτυξης στις αγροτικές περιοχές, συμπεριλαμβανομένης της βιο-οικονομίας και της βιώσιμης δασοκομίας·</w:t>
      </w:r>
    </w:p>
    <w:p w:rsidR="00A57BFD" w:rsidRPr="005B0D19" w:rsidRDefault="005B0D19">
      <w:pPr>
        <w:pStyle w:val="Point0"/>
        <w:rPr>
          <w:noProof/>
        </w:rPr>
      </w:pPr>
      <w:r w:rsidRPr="005B0D19">
        <w:rPr>
          <w:noProof/>
        </w:rPr>
        <w:t>θ)</w:t>
      </w:r>
      <w:r w:rsidRPr="005B0D19">
        <w:rPr>
          <w:noProof/>
        </w:rPr>
        <w:tab/>
        <w:t xml:space="preserve">Βελτίωση της ανταπόκρισης της γεωργίας της ΕΕ στις απαιτήσεις της κοινωνίας όσον αφορά τα τρόφιμα και την υγεία, συμπεριλαμβανομένης της απαίτησης για ασφαλή, θρεπτικά και βιώσιμα τρόφιμα, καθώς και για καλή μεταχείριση των ζώων. </w:t>
      </w:r>
    </w:p>
    <w:p w:rsidR="00A57BFD" w:rsidRPr="005B0D19" w:rsidRDefault="005B0D19">
      <w:pPr>
        <w:rPr>
          <w:noProof/>
        </w:rPr>
      </w:pPr>
      <w:r w:rsidRPr="005B0D19">
        <w:rPr>
          <w:noProof/>
        </w:rPr>
        <w:t>Για την επίτευξη των στόχων αυτών, τα κράτη μέλη εξασφαλίζουν την απλούστευση και την αποτελεσματική χρήση της στήριξης που παρέχει η ΚΓΠ. Σχεδιάζουν παρεμβάσεις που είναι κατάλληλες για τις συγκεκριμένες περιστάσεις με βάση τους τύπους των παρεμβάσεων που αναφέρονται στον κανονισμό. Τα κράτη μέλη θα πρέπει να δώσουν ιδιαίτερη προσοχή σε συγκεκριμένους περιβαλλοντικούς και κλιματικούς στόχους, στην ανανέωση των γενεών και στον εκσυγχρονισμό της εφαρμογής της πολιτικής δίνοντας έμφαση στην καλύτερη χρήση της τεχνογνωσίας, των συμβουλών και των νέων (ψηφιακών) τεχνολογιών.</w:t>
      </w:r>
    </w:p>
    <w:p w:rsidR="00A57BFD" w:rsidRPr="005B0D19" w:rsidRDefault="005B0D19">
      <w:pPr>
        <w:rPr>
          <w:noProof/>
        </w:rPr>
      </w:pPr>
      <w:r w:rsidRPr="005B0D19">
        <w:rPr>
          <w:noProof/>
        </w:rPr>
        <w:lastRenderedPageBreak/>
        <w:t>Τα κράτη μέλη θα παρουσιάσουν τις προτάσεις τους για την επίτευξη των ειδικών στόχων της ΕΕ σε στρατηγικό σχέδιο της ΚΓΠ. Οι νομοθετικοί φορείς θα θεσπίσουν κανόνες σχετικά με το περιεχόμενο ενός τέτοιου στρατηγικού σχεδίου ΚΓΠ και η Επιτροπή θα ελέγξει τα σχέδια και θα τα εγκρίνει. Τα στρατηγικά σχέδια της ΚΓΠ θα συνδυάζουν τα περισσότερα μέσα στήριξης της ΚΓΠ που χρηματοδοτούνται από το ΕΓΤΕ (συμπεριλαμβανομένων των τομεακών προγραμμάτων που μέχρι σήμερα έχουν θεσπιστεί στο πλαίσιο του κανονισμού ΚΟΑ) και το ΕΓΤΑΑ. Με τον τρόπο αυτόν, τα κράτη μέλη θα χαράξουν μια ενιαία, συνεκτική στρατηγική παρέμβασης ανά κράτος μέλος. Στα στρατηγικά σχέδια της ΚΓΠ, τα κράτη μέλη θα καθορίσουν τους στόχους τους για την περίοδο προγραμματισμού χρησιμοποιώντας κοινά καθορισμένους δείκτες αποτελεσμάτων.</w:t>
      </w:r>
    </w:p>
    <w:p w:rsidR="00A57BFD" w:rsidRPr="005B0D19" w:rsidRDefault="005B0D19">
      <w:pPr>
        <w:rPr>
          <w:noProof/>
        </w:rPr>
      </w:pPr>
      <w:r w:rsidRPr="005B0D19">
        <w:rPr>
          <w:noProof/>
        </w:rPr>
        <w:t>Μετά την εκπόνηση των στρατηγικών σχεδίων της ΚΓΠ, τα κράτη μέλη θα υποβάλλουν ετήσιες εκθέσεις σχετικά με την πρόοδο της υλοποίησης της πολιτικής χρησιμοποιώντας ένα σύστημα κοινών δεικτών. Τα κράτη μέλη και η Επιτροπή θα παρακολουθούν την πρόοδο και θα αξιολογούν την αποτελεσματικότητα των παρεμβάσεων.</w:t>
      </w:r>
    </w:p>
    <w:p w:rsidR="00A57BFD" w:rsidRPr="005B0D19" w:rsidRDefault="005B0D19">
      <w:pPr>
        <w:pBdr>
          <w:top w:val="nil"/>
          <w:left w:val="nil"/>
          <w:bottom w:val="nil"/>
          <w:right w:val="nil"/>
          <w:between w:val="nil"/>
          <w:bar w:val="nil"/>
        </w:pBdr>
        <w:spacing w:before="0" w:after="240"/>
        <w:rPr>
          <w:noProof/>
        </w:rPr>
      </w:pPr>
      <w:r w:rsidRPr="005B0D19">
        <w:rPr>
          <w:noProof/>
        </w:rPr>
        <w:t>Το παρακάτω τμήμα παρέχει πληροφορίες σχετικά με το συγκεκριμένο περιεχόμενο των τριών κανονισμών.</w:t>
      </w:r>
    </w:p>
    <w:p w:rsidR="00A57BFD" w:rsidRPr="005B0D19" w:rsidRDefault="005B0D19">
      <w:pPr>
        <w:pStyle w:val="ManualHeading2"/>
        <w:rPr>
          <w:noProof/>
        </w:rPr>
      </w:pPr>
      <w:r w:rsidRPr="005B0D19">
        <w:rPr>
          <w:noProof/>
        </w:rPr>
        <w:t>Κανονισμός για το στρατηγικό σχέδιο της ΚΓΠ</w:t>
      </w:r>
    </w:p>
    <w:p w:rsidR="00A57BFD" w:rsidRPr="005B0D19" w:rsidRDefault="005B0D19">
      <w:pPr>
        <w:pBdr>
          <w:top w:val="nil"/>
          <w:left w:val="nil"/>
          <w:bottom w:val="nil"/>
          <w:right w:val="nil"/>
          <w:between w:val="nil"/>
          <w:bar w:val="nil"/>
        </w:pBdr>
        <w:spacing w:before="0" w:after="240"/>
        <w:rPr>
          <w:noProof/>
        </w:rPr>
      </w:pPr>
      <w:r w:rsidRPr="005B0D19">
        <w:rPr>
          <w:noProof/>
        </w:rPr>
        <w:t xml:space="preserve">Ο τίτλος Ι προβλέπει το πεδίο εφαρμογής του κανονισμού καθώς και ορισμούς. </w:t>
      </w:r>
    </w:p>
    <w:p w:rsidR="00A57BFD" w:rsidRPr="005B0D19" w:rsidRDefault="005B0D19">
      <w:pPr>
        <w:pBdr>
          <w:top w:val="nil"/>
          <w:left w:val="nil"/>
          <w:bottom w:val="nil"/>
          <w:right w:val="nil"/>
          <w:between w:val="nil"/>
          <w:bar w:val="nil"/>
        </w:pBdr>
        <w:spacing w:before="0" w:after="240"/>
        <w:rPr>
          <w:noProof/>
        </w:rPr>
      </w:pPr>
      <w:r w:rsidRPr="005B0D19">
        <w:rPr>
          <w:noProof/>
        </w:rPr>
        <w:t xml:space="preserve">Ο τίτλος ΙΙ παρουσιάζει τους γενικούς στόχους της ΚΓΠ και τους ειδικούς στόχους που πρέπει να επιτευχθούν μέσω των παρεμβάσεων που θα σχεδιάσουν τα κράτη μέλη στα στρατηγικά τους σχέδια για την ΚΓΠ. Ο τίτλος ΙΙΙ θεσπίζει μια σειρά κοινών απαιτήσεων για τα στρατηγικά σχέδια της ΚΓΠ , καθώς και στοιχεία που εφαρμόζονται σε διάφορες παρεμβάσεις.  Οι κοινές απαιτήσεις αφορούν τη συμμόρφωση με γενικές αρχές και θεμελιώδη δικαιώματα, όπως η πρόληψη των στρεβλώσεων του ανταγωνισμού, η τήρηση των κανόνων της εσωτερικής αγοράς και η απαγόρευση των διακρίσεων, καθώς και η τήρηση των κανόνων περί εσωτερικής στήριξης στο πλαίσιο του ΠΟΕ. Περιλαμβάνουν επίσης απαιτήσεις όσον αφορά συγκεκριμένα στοιχεία που πρέπει να καθορίζονται στα σχέδια για την ΚΓΠ, όπως, για παράδειγμα, τι είναι γεωργική έκταση, γεωργική δραστηριότητα, πραγματικός γεωργός, γεωργός νεαρής ηλικίας. Στο τμήμα αυτό περιγράφονται οι υποχρεώσεις στο πλαίσιο της «επιβολής όρων και προϋποθέσεων» (απαιτήσεις τις οποίες πρέπει να πληροί κάθε δικαιούχος στρεμματικών ενισχύσεων όσον αφορά τις ορθές γεωργικές πρακτικές) αλλά και οι υποχρεώσεις που απορρέουν από τη νομοθεσία της ΕΕ, καθώς και η ανάγκη εξασφάλισης ικανοποιητικών συμβουλευτικών υπηρεσιών για τις γεωργικές εκμεταλλεύσεις. </w:t>
      </w:r>
    </w:p>
    <w:p w:rsidR="00A57BFD" w:rsidRPr="005B0D19" w:rsidRDefault="005B0D19">
      <w:pPr>
        <w:pBdr>
          <w:top w:val="nil"/>
          <w:left w:val="nil"/>
          <w:bottom w:val="nil"/>
          <w:right w:val="nil"/>
          <w:between w:val="nil"/>
          <w:bar w:val="nil"/>
        </w:pBdr>
        <w:spacing w:before="0" w:after="240"/>
        <w:rPr>
          <w:noProof/>
        </w:rPr>
      </w:pPr>
      <w:r w:rsidRPr="005B0D19">
        <w:rPr>
          <w:noProof/>
        </w:rPr>
        <w:t xml:space="preserve">Τέλος, ο τίτλος </w:t>
      </w:r>
      <w:r>
        <w:rPr>
          <w:noProof/>
        </w:rPr>
        <w:t>III</w:t>
      </w:r>
      <w:r w:rsidRPr="005B0D19">
        <w:rPr>
          <w:noProof/>
        </w:rPr>
        <w:t xml:space="preserve"> παρουσιάζει τους τύπους παρεμβάσεων που μπορούν να χρησιμοποιούν τα κράτη μέλη για την υλοποίηση των στρατηγικών τους σχεδίων για την ΚΓΠ. Τα είδη παρεμβάσεων είναι οι ευρείες κατηγορίες παρεμβάσεων που χρησιμοποιούν τα κράτη μέλη στα στρατηγικά τους σχέδια για την ΚΓΠ.</w:t>
      </w:r>
    </w:p>
    <w:p w:rsidR="00A57BFD" w:rsidRPr="005B0D19" w:rsidRDefault="005B0D19">
      <w:pPr>
        <w:pBdr>
          <w:top w:val="nil"/>
          <w:left w:val="nil"/>
          <w:bottom w:val="nil"/>
          <w:right w:val="nil"/>
          <w:between w:val="nil"/>
          <w:bar w:val="nil"/>
        </w:pBdr>
        <w:spacing w:before="0" w:after="240"/>
        <w:rPr>
          <w:noProof/>
        </w:rPr>
      </w:pPr>
      <w:r w:rsidRPr="005B0D19">
        <w:rPr>
          <w:noProof/>
        </w:rPr>
        <w:t xml:space="preserve">Ο τίτλος </w:t>
      </w:r>
      <w:r>
        <w:rPr>
          <w:noProof/>
        </w:rPr>
        <w:t>IV</w:t>
      </w:r>
      <w:r w:rsidRPr="005B0D19">
        <w:rPr>
          <w:noProof/>
        </w:rPr>
        <w:t xml:space="preserve"> παρουσιάζει τις δημοσιονομικές προβλέψεις. Περιλαμβάνει ιδίως τα χρηματοδοτικά κονδύλια ανά κράτος μέλος και ανά Ταμείο και καθορίζει το περιθώριο μεταφοράς κονδυλίων μεταξύ ταμείων. Παρέχει τα ποσοστά συνεισφοράς του ΕΓΤΑΑ σε σχέση με τις δημόσιες δαπάνες των κρατών μελών και καθορίζει ορισμένα ελάχιστα ή μέγιστα χρηματοδοτικά κονδύλια για ειδικούς σκοπούς.</w:t>
      </w:r>
    </w:p>
    <w:p w:rsidR="00A57BFD" w:rsidRPr="005B0D19" w:rsidRDefault="005B0D19">
      <w:pPr>
        <w:pBdr>
          <w:top w:val="nil"/>
          <w:left w:val="nil"/>
          <w:bottom w:val="nil"/>
          <w:right w:val="nil"/>
          <w:between w:val="nil"/>
          <w:bar w:val="nil"/>
        </w:pBdr>
        <w:spacing w:before="0" w:after="240"/>
        <w:rPr>
          <w:noProof/>
        </w:rPr>
      </w:pPr>
      <w:r w:rsidRPr="005B0D19">
        <w:rPr>
          <w:noProof/>
        </w:rPr>
        <w:t xml:space="preserve">Ο τίτλος </w:t>
      </w:r>
      <w:r>
        <w:rPr>
          <w:noProof/>
        </w:rPr>
        <w:t>V</w:t>
      </w:r>
      <w:r w:rsidRPr="005B0D19">
        <w:rPr>
          <w:noProof/>
        </w:rPr>
        <w:t xml:space="preserve"> παρουσιάζει τους κανόνες σχετικά με τα στρατηγικά σχέδια της ΚΓΠ. Αναφέρει ποια στοιχεία πρέπει να λάβουν υπόψη τα κράτη μέλη κατά την εκπόνηση ενός στρατηγικού σχεδίου για την ΚΓΠ και ποιο θα είναι το ελάχιστο περιεχόμενό του, συμπεριλαμβανομένων </w:t>
      </w:r>
      <w:r w:rsidRPr="005B0D19">
        <w:rPr>
          <w:noProof/>
        </w:rPr>
        <w:lastRenderedPageBreak/>
        <w:t>των στόχων και του οικονομικού σχεδιασμού. Ο τίτλος αυτός εξηγεί επίσης τους κανόνες που ισχύουν για την έγκριση των στρατηγικών σχεδίων της από την Επιτροπή και τον τρόπο με τον οποίο μπορούν να τροποποιηθούν τα σχέδια αυτά.</w:t>
      </w:r>
    </w:p>
    <w:p w:rsidR="00A57BFD" w:rsidRPr="005B0D19" w:rsidRDefault="005B0D19">
      <w:pPr>
        <w:pBdr>
          <w:top w:val="nil"/>
          <w:left w:val="nil"/>
          <w:bottom w:val="nil"/>
          <w:right w:val="nil"/>
          <w:between w:val="nil"/>
          <w:bar w:val="nil"/>
        </w:pBdr>
        <w:spacing w:before="0" w:after="240"/>
        <w:rPr>
          <w:noProof/>
        </w:rPr>
      </w:pPr>
      <w:r w:rsidRPr="005B0D19">
        <w:rPr>
          <w:noProof/>
        </w:rPr>
        <w:t xml:space="preserve">Ο τίτλος </w:t>
      </w:r>
      <w:r>
        <w:rPr>
          <w:noProof/>
        </w:rPr>
        <w:t>VI</w:t>
      </w:r>
      <w:r w:rsidRPr="005B0D19">
        <w:rPr>
          <w:noProof/>
        </w:rPr>
        <w:t xml:space="preserve"> παρέχει τα απαραίτητα στοιχεία για το συντονισμό και τη διακυβέρνηση. Αποδίδει αρμοδιότητες στις αρχές των κρατών μελών για συγκεκριμένα καθήκοντα που σχετίζονται με τα στρατηγικά σχέδια της ΚΓΠ. Θεσπίζει μια επιτροπή παρακολούθησης προκειμένου να συμμετάσχουν όλοι οι ενδιαφερόμενοι. Δημιουργεί επίσης δίκτυα για τη διευκόλυνση της επιτυχούς υλοποίησης των στρατηγικών σχεδίων της ΚΓΠ. Τα δίκτυα αυτά θα δημιουργηθούν τόσο σε εθνικό όσο και σε ενωσιακό επίπεδο. Τέλος, ο εν λόγω τίτλος καθιερώνει την Ευρωπαϊκή Σύμπραξη Καινοτομίας (ΕΣΚ) με σκοπό να ενισχυθεί η ανταλλαγή τεχνογνωσίας και καινοτομίας.</w:t>
      </w:r>
    </w:p>
    <w:p w:rsidR="00A57BFD" w:rsidRPr="005B0D19" w:rsidRDefault="005B0D19">
      <w:pPr>
        <w:pBdr>
          <w:top w:val="nil"/>
          <w:left w:val="nil"/>
          <w:bottom w:val="nil"/>
          <w:right w:val="nil"/>
          <w:between w:val="nil"/>
          <w:bar w:val="nil"/>
        </w:pBdr>
        <w:spacing w:before="0" w:after="240"/>
        <w:rPr>
          <w:noProof/>
        </w:rPr>
      </w:pPr>
      <w:r w:rsidRPr="005B0D19">
        <w:rPr>
          <w:noProof/>
        </w:rPr>
        <w:t xml:space="preserve">Ο τίτλος </w:t>
      </w:r>
      <w:r>
        <w:rPr>
          <w:noProof/>
        </w:rPr>
        <w:t>VII</w:t>
      </w:r>
      <w:r w:rsidRPr="005B0D19">
        <w:rPr>
          <w:noProof/>
        </w:rPr>
        <w:t xml:space="preserve"> παρουσιάζει το πλαίσιο παρακολούθησης και αξιολόγησης θέτοντας κανόνες σχετικά με το τι και πότε τα κράτη μέλη πρέπει να αναφέρουν την πρόοδο στα στρατηγικά τους σχέδια για την ΚΓΠ και τους κανόνες σύμφωνα με τους οποίους θα παρακολουθείται και θα αξιολογείται αυτή η πρόοδος. Ειδικότερα, ο εν λόγω τίτλος περιέχει τους κανόνες αναφορικά με τις ανταμοιβές επιδόσεων για τις καλές περιβαλλοντικές και κλιματικές επιδόσεις που σημειώνονται. </w:t>
      </w:r>
    </w:p>
    <w:p w:rsidR="00A57BFD" w:rsidRPr="005B0D19" w:rsidRDefault="005B0D19">
      <w:pPr>
        <w:pBdr>
          <w:top w:val="nil"/>
          <w:left w:val="nil"/>
          <w:bottom w:val="nil"/>
          <w:right w:val="nil"/>
          <w:between w:val="nil"/>
          <w:bar w:val="nil"/>
        </w:pBdr>
        <w:spacing w:before="0" w:after="240"/>
        <w:rPr>
          <w:b/>
          <w:noProof/>
        </w:rPr>
      </w:pPr>
      <w:r w:rsidRPr="005B0D19">
        <w:rPr>
          <w:noProof/>
        </w:rPr>
        <w:t xml:space="preserve">Τέλος, οι τίτλοι </w:t>
      </w:r>
      <w:r>
        <w:rPr>
          <w:noProof/>
        </w:rPr>
        <w:t>VIII</w:t>
      </w:r>
      <w:r w:rsidRPr="005B0D19">
        <w:rPr>
          <w:noProof/>
        </w:rPr>
        <w:t xml:space="preserve"> και </w:t>
      </w:r>
      <w:r>
        <w:rPr>
          <w:noProof/>
        </w:rPr>
        <w:t>IX</w:t>
      </w:r>
      <w:r w:rsidRPr="005B0D19">
        <w:rPr>
          <w:noProof/>
        </w:rPr>
        <w:t xml:space="preserve"> αφορούν τους κανόνες ανταγωνισμού, που εξηγούν ειδικότερα πώς πρέπει να εφαρμόζονται οι κανόνες περί κρατικών ενισχύσεων, και τις τελικές διατάξεις που εξηγούν ποιοι κανονισμοί καταργούνται και πότε τίθεται σε ισχύ ο κανονισμός.</w:t>
      </w:r>
    </w:p>
    <w:p w:rsidR="00A57BFD" w:rsidRPr="005B0D19" w:rsidRDefault="005B0D19">
      <w:pPr>
        <w:pStyle w:val="ManualHeading2"/>
        <w:rPr>
          <w:noProof/>
        </w:rPr>
      </w:pPr>
      <w:r w:rsidRPr="005B0D19">
        <w:rPr>
          <w:noProof/>
          <w:color w:val="000000"/>
          <w:u w:color="000000"/>
          <w:bdr w:val="nil"/>
        </w:rPr>
        <w:t>Οριζόντιος</w:t>
      </w:r>
      <w:r w:rsidRPr="005B0D19">
        <w:rPr>
          <w:noProof/>
        </w:rPr>
        <w:t xml:space="preserve"> κανονισμός για την ΚΓΠ</w:t>
      </w:r>
    </w:p>
    <w:p w:rsidR="00A57BFD" w:rsidRPr="005B0D19" w:rsidRDefault="005B0D19">
      <w:pPr>
        <w:pBdr>
          <w:top w:val="nil"/>
          <w:left w:val="nil"/>
          <w:bottom w:val="nil"/>
          <w:right w:val="nil"/>
          <w:between w:val="nil"/>
          <w:bar w:val="nil"/>
        </w:pBdr>
        <w:spacing w:before="0" w:after="240"/>
        <w:rPr>
          <w:noProof/>
        </w:rPr>
      </w:pPr>
      <w:r w:rsidRPr="005B0D19">
        <w:rPr>
          <w:noProof/>
        </w:rPr>
        <w:t>Προτείνεται να διατηρηθεί η σημερινή δομή της ΚΓΠ σε δύο πυλώνες με ετήσια μέτρα γενικής εφαρμογής στον πρώτο πυλώνα που θα συμπληρώνονται με μέτρα που αντικατοπτρίζουν τις εθνικές και περιφερειακές ιδιαιτερότητες στο πλαίσιο μιας προσέγγισης πολυετούς προγραμματισμού στον δεύτερο πυλώνα. Ωστόσο, ο νέος σχεδιασμός της ΚΓΠ μετά το 2020 θα περιλαμβάνει αυξημένη επικουρικότητα ώστε τα κράτη μέλη να μπορούν να προσαρμόσουν καλύτερα τα μέτρα εφαρμογής και των δύο πυλώνων στην πραγματικότητά τους και στις συγκεκριμένες συνθήκες των γεωργών. Μεγαλύτερη επικουρικότητα σημαίνει αναπροσαρμογή των αρμοδιοτήτων στη διαχείριση της ΚΓΠ και αναζήτηση μιας νέας σχέσης μεταξύ της Ευρωπαϊκής Ένωσης, των κρατών μελών και των αγροτών.</w:t>
      </w:r>
    </w:p>
    <w:p w:rsidR="00A57BFD" w:rsidRPr="005B0D19" w:rsidRDefault="005B0D19">
      <w:pPr>
        <w:pBdr>
          <w:top w:val="nil"/>
          <w:left w:val="nil"/>
          <w:bottom w:val="nil"/>
          <w:right w:val="nil"/>
          <w:between w:val="nil"/>
          <w:bar w:val="nil"/>
        </w:pBdr>
        <w:spacing w:before="0" w:after="240"/>
        <w:rPr>
          <w:noProof/>
        </w:rPr>
      </w:pPr>
      <w:r w:rsidRPr="005B0D19">
        <w:rPr>
          <w:noProof/>
        </w:rPr>
        <w:t>Επί της βάσης αυτής, ο ισχύων οριζόντιος κανονισμός για την ΚΓΠ προσαρμόζεται στο νέο μοντέλο υλοποίησης και αντικατοπτρίζει μεγαλύτερη ευελιξία για τα κράτη μέλη σε ό,τι αφορά την υλοποίηση της πολιτικής (σύμφωνα με τις τοπικές τους ανάγκες), λιγότερη γραφειοκρατία για τους δικαιούχους και στροφή σε μια πολιτική βασισμένη στις επιδόσεις.</w:t>
      </w:r>
    </w:p>
    <w:p w:rsidR="00A57BFD" w:rsidRPr="005B0D19" w:rsidRDefault="005B0D19">
      <w:pPr>
        <w:pBdr>
          <w:top w:val="nil"/>
          <w:left w:val="nil"/>
          <w:bottom w:val="nil"/>
          <w:right w:val="nil"/>
          <w:between w:val="nil"/>
          <w:bar w:val="nil"/>
        </w:pBdr>
        <w:spacing w:before="0" w:after="240"/>
        <w:rPr>
          <w:noProof/>
        </w:rPr>
      </w:pPr>
      <w:r w:rsidRPr="005B0D19">
        <w:rPr>
          <w:noProof/>
        </w:rPr>
        <w:t>Η μετατόπιση της έμφασης από τη συμμόρφωση στις επιδόσεις, σε επίπεδο ΕΕ, απαιτεί σαφή προσδιορισμό των στόχων που πρέπει να επιτύχει η πολιτική: και πάλι, αυτοί οι στόχοι θα καθοριστούν σε επίπεδο ΕΕ. Προκειμένου να μεταβούμε σε ένα μηχανισμό πολιτικών που θα εστιάζει στα αποτελέσματα, θα γίνει μια στροφή από τη διασφάλιση της νομιμότητας και της κανονικότητας των υποκείμενων πράξεων στη διασφάλιση της απόδοσης και την τήρηση των βασικών προϋποθέσεων της ΕΕ, όπως το ολοκληρωμένο σύστημα διαχείρισης και ελέγχου (ΟΣΔΕ) ή φορείς διακυβέρνησης (οργανισμοί πληρωμών, συντονιστικοί φορείς, αρμόδιες αρχές και φορείς πιστοποίησης). Θα διατηρηθούν οι ισχυρές και αξιόπιστες δομές διακυβέρνησης που χαρακτηρίζουν την ΚΓΠ.</w:t>
      </w:r>
    </w:p>
    <w:p w:rsidR="00A57BFD" w:rsidRPr="005B0D19" w:rsidRDefault="005B0D19">
      <w:pPr>
        <w:pBdr>
          <w:top w:val="nil"/>
          <w:left w:val="nil"/>
          <w:bottom w:val="nil"/>
          <w:right w:val="nil"/>
          <w:between w:val="nil"/>
          <w:bar w:val="nil"/>
        </w:pBdr>
        <w:spacing w:before="0" w:after="240"/>
        <w:rPr>
          <w:noProof/>
        </w:rPr>
      </w:pPr>
      <w:r w:rsidRPr="005B0D19">
        <w:rPr>
          <w:noProof/>
        </w:rPr>
        <w:lastRenderedPageBreak/>
        <w:t>Πέρα από τις διατάξεις χρηματοδότησης, και ο οριζόντιος κανονισμός για την ΚΓΠ εξακολουθεί να περιλαμβάνει διατάξεις σχετικά με τις γενικές αρχές για τους ελέγχους και τις κυρώσεις, τους ελέγχους όσον αφορά τους όρους και τις προϋποθέσεις, και το ΟΣΔΕ. Ως εκ τούτου, ο κανονισμός ορίζει κανόνες σχετικά με τα συστήματα χρηματοδότησης, διαχείρισης και ελέγχου, τις διαδικασίες εκκαθάρισης (ετήσια οικονομική εκκαθάριση και ετήσια εκκαθάριση απόδοσης) και τη διαδικασία συμμόρφωσης.</w:t>
      </w:r>
    </w:p>
    <w:p w:rsidR="00A57BFD" w:rsidRPr="005B0D19" w:rsidRDefault="005B0D19">
      <w:pPr>
        <w:pBdr>
          <w:top w:val="nil"/>
          <w:left w:val="nil"/>
          <w:bottom w:val="nil"/>
          <w:right w:val="nil"/>
          <w:between w:val="nil"/>
          <w:bar w:val="nil"/>
        </w:pBdr>
        <w:spacing w:before="0" w:after="240"/>
        <w:rPr>
          <w:noProof/>
        </w:rPr>
      </w:pPr>
      <w:r w:rsidRPr="005B0D19">
        <w:rPr>
          <w:noProof/>
        </w:rPr>
        <w:t xml:space="preserve">Ο εν λόγω κανονισμός περιλαμβάνει διάφορα στοιχεία απλούστευσης. Αρχικά, η νέα ετήσια έκθεση επιδόσεων αντανακλά τη μετάβαση από τη συμμόρφωση του μεμονωμένου δικαιούχου στις επιδόσεις της πολιτικής στα κράτη μέλη. </w:t>
      </w:r>
    </w:p>
    <w:p w:rsidR="00A57BFD" w:rsidRPr="005B0D19" w:rsidRDefault="005B0D19">
      <w:pPr>
        <w:pBdr>
          <w:top w:val="nil"/>
          <w:left w:val="nil"/>
          <w:bottom w:val="nil"/>
          <w:right w:val="nil"/>
          <w:between w:val="nil"/>
          <w:bar w:val="nil"/>
        </w:pBdr>
        <w:spacing w:before="0" w:after="240"/>
        <w:rPr>
          <w:noProof/>
        </w:rPr>
      </w:pPr>
      <w:r w:rsidRPr="005B0D19">
        <w:rPr>
          <w:noProof/>
        </w:rPr>
        <w:t>Επιπλέον, προβλέπει τη μείωση του αριθμού των οργανισμών πληρωμών και την ενίσχυση του ρόλου του συντονιστικού φορέα και του φορέα πιστοποίησης σύμφωνα με το νέο μοντέλο υλοποίησης. Με τον τρόπο αυτόν, το σύστημα θα διέπεται από μεγαλύτερη διαφάνεια και θα επιβαρύνει λιγότερο τις εθνικές διοικήσεις αλλά και την Επιτροπή. Εισάγεται η έννοια της προσέγγισης «ενιαίου ελέγχου», σύμφωνα με τον δημοσιονομικό κανονισμό. Ως εκ τούτου, ο αριθμός των ελέγχων της Επιτροπής μπορεί να μειωθεί.</w:t>
      </w:r>
    </w:p>
    <w:p w:rsidR="00A57BFD" w:rsidRPr="005B0D19" w:rsidRDefault="005B0D19">
      <w:pPr>
        <w:pStyle w:val="ManualHeading2"/>
        <w:rPr>
          <w:b w:val="0"/>
          <w:noProof/>
        </w:rPr>
      </w:pPr>
      <w:r w:rsidRPr="005B0D19">
        <w:rPr>
          <w:noProof/>
        </w:rPr>
        <w:t xml:space="preserve">Τροποποιητικός </w:t>
      </w:r>
      <w:r w:rsidRPr="005B0D19">
        <w:rPr>
          <w:noProof/>
          <w:color w:val="000000"/>
          <w:u w:color="000000"/>
          <w:bdr w:val="nil"/>
        </w:rPr>
        <w:t>κανονισμός</w:t>
      </w:r>
    </w:p>
    <w:p w:rsidR="00A57BFD" w:rsidRPr="005B0D19" w:rsidRDefault="005B0D19">
      <w:pPr>
        <w:pBdr>
          <w:top w:val="nil"/>
          <w:left w:val="nil"/>
          <w:bottom w:val="nil"/>
          <w:right w:val="nil"/>
          <w:between w:val="nil"/>
          <w:bar w:val="nil"/>
        </w:pBdr>
        <w:spacing w:before="0" w:after="240"/>
        <w:rPr>
          <w:noProof/>
        </w:rPr>
      </w:pPr>
      <w:r w:rsidRPr="005B0D19">
        <w:rPr>
          <w:noProof/>
        </w:rPr>
        <w:t xml:space="preserve">Η ανακοίνωση με τίτλο «Το μέλλον των τροφίμων και της γεωργίας» επιβεβαιώνει πως ο προσανατολισμός στην αγορά αποτελεί βασικό στοιχείο της ΚΓΠ αλλά επισημαίνει επίσης τις προκλήσεις που συνδέονται με την περιβαλλοντική βιωσιμότητα και την κλιματική αλλαγή. Επιπλέον, ο τομέας της γεωργίας τοποθετείται στο επίκεντρο της συζήτησης για τα τρόφιμα και σχετικές ανησυχίες των πολιτών, υπενθυμίζοντας ότι «ο σημαντικότερος ρόλος της πολιτικής είναι να βοηθήσει τους αγρότες να προβλέπουν τις εξελίξεις στις διατροφικές συνήθειες και να προσαρμόζουν την παραγωγή τους σύμφωνα με τα μηνύματα της αγοράς και τις απαιτήσεις των καταναλωτών». Δεδομένου ότι οι λεπτομερείς κανόνες που ενδέχεται να αποτρέψουν τις αναγκαίες προσαρμογές έχουν θεσπιστεί σε επίπεδο ΕΕ, η μεταρρύθμιση αυτή αποτελεί ευκαιρία για να γίνουν οι απαραίτητες αλλαγές. Η ΚΓΠ θα πρέπει επίσης να ασχοληθεί και με τις ανησυχίες των πολιτών σχετικά με τη βιώσιμη γεωργική παραγωγή. </w:t>
      </w:r>
    </w:p>
    <w:p w:rsidR="00A57BFD" w:rsidRPr="005B0D19" w:rsidRDefault="005B0D19">
      <w:pPr>
        <w:pBdr>
          <w:top w:val="nil"/>
          <w:left w:val="nil"/>
          <w:bottom w:val="nil"/>
          <w:right w:val="nil"/>
          <w:between w:val="nil"/>
          <w:bar w:val="nil"/>
        </w:pBdr>
        <w:spacing w:before="0" w:after="240"/>
        <w:rPr>
          <w:noProof/>
        </w:rPr>
      </w:pPr>
      <w:r w:rsidRPr="005B0D19">
        <w:rPr>
          <w:noProof/>
        </w:rPr>
        <w:t xml:space="preserve">Για τον λόγο αυτόν προβλέπεται η διατήρηση της βασικής δομής και των βασικών χαρακτηριστικών του κανονισμού (ΕΕ) 1308/2013, ενώ θα τροποποιηθεί ένας περιορισμένος αριθμός διατάξεων, ώστε να ληφθούν υπόψη οι οικονομικές, περιβαλλοντικές και κοινωνικές εξελίξεις που σημειώθηκαν από την έναρξη ισχύος του το 2014. </w:t>
      </w:r>
    </w:p>
    <w:p w:rsidR="00A57BFD" w:rsidRPr="005B0D19" w:rsidRDefault="005B0D19">
      <w:pPr>
        <w:pBdr>
          <w:top w:val="nil"/>
          <w:left w:val="nil"/>
          <w:bottom w:val="nil"/>
          <w:right w:val="nil"/>
          <w:between w:val="nil"/>
          <w:bar w:val="nil"/>
        </w:pBdr>
        <w:spacing w:before="0" w:after="240"/>
        <w:rPr>
          <w:noProof/>
        </w:rPr>
      </w:pPr>
      <w:r w:rsidRPr="005B0D19">
        <w:rPr>
          <w:noProof/>
        </w:rPr>
        <w:t xml:space="preserve">Πρώτον, προβλέπεται η απαλοιφή διατάξεων σχετικά με τις τομεακές παρεμβάσεις που είχαν θεσπιστεί με τον προηγούμενο κανονισμό (ΕΕ) αριθ. 1308/2013, δεδομένου ότι οι εν λόγω παρεμβάσεις της μελλοντικής ΚΓΠ θα διέπονται από τον [κανονισμό για το στρατηγικό σχέδιο της ΚΓΠ] και θα εντάσσονται στα στρατηγικά σχέδια των κρατών μελών, ώστε να εξασφαλιστεί μεγαλύτερη συνέπεια μεταξύ των παρεμβάσεων της ΚΓΠ. </w:t>
      </w:r>
    </w:p>
    <w:p w:rsidR="00A57BFD" w:rsidRPr="005B0D19" w:rsidRDefault="005B0D19">
      <w:pPr>
        <w:pBdr>
          <w:top w:val="nil"/>
          <w:left w:val="nil"/>
          <w:bottom w:val="nil"/>
          <w:right w:val="nil"/>
          <w:between w:val="nil"/>
          <w:bar w:val="nil"/>
        </w:pBdr>
        <w:spacing w:before="0" w:after="240"/>
        <w:rPr>
          <w:noProof/>
        </w:rPr>
      </w:pPr>
      <w:r w:rsidRPr="005B0D19">
        <w:rPr>
          <w:noProof/>
        </w:rPr>
        <w:t>Δεύτερον, παρόλο που οι διαδοχικές μεταρρυθμίσεις της πολιτικής στον αμπελοοινικό τομέα, το 2008 και το 2013, έχουν επιτύχει σε γενικές γραμμές τους στόχους τους τονώνοντας έτσι οικονομικά τον συγκεκριμένο τομέα, έχουν προκύψει νέες οικονομικές, περιβαλλοντικές και κλιματικές προκλήσεις. Ως εκ τούτου, ο κανονισμός προβλέπει ορισμένες ειδικές τροποποιήσεις των υφιστάμενων κανόνων για την αντιμετώπιση των εν λόγω προκλήσεων.</w:t>
      </w:r>
    </w:p>
    <w:p w:rsidR="00A57BFD" w:rsidRPr="005B0D19" w:rsidRDefault="005B0D19">
      <w:pPr>
        <w:spacing w:before="0" w:after="240"/>
        <w:rPr>
          <w:noProof/>
        </w:rPr>
      </w:pPr>
      <w:r w:rsidRPr="005B0D19">
        <w:rPr>
          <w:noProof/>
        </w:rPr>
        <w:t xml:space="preserve">Τρίτον, η ανακοίνωση σχετικά με το μέλλον των τροφίμων και της γεωργίας ζήτησε οι γεωγραφικές ενδείξεις να γίνουν πιο ελκυστικές για τους αγρότες και τους καταναλωτές κάνοντας ταυτόχρονα πιο εύκολη τη διαχείριση του συστήματος. Συνεπώς, προτείνεται να </w:t>
      </w:r>
      <w:r w:rsidRPr="005B0D19">
        <w:rPr>
          <w:noProof/>
        </w:rPr>
        <w:lastRenderedPageBreak/>
        <w:t>τροποποιηθούν οι ισχύοντες κανόνες για τις γεωγραφικές ενδείξεις, οι οποίοι κατανέμονται σε τέσσερις βασικές πράξεις, με στόχο ένα απλούστερο σύστημα γεωγραφικών ενδείξεων, ταχύτερη καταχώριση αυτών των ενδείξεων και αποτελεσματικότερη έγκριση των τροποποιήσεων στις προδιαγραφές των προϊόντων. Οι αλλαγές έχουν ως στόχο ένα απλοποιημένο σύστημα γεωγραφικών ενδείξεων, πιο κατανοητό στους καταναλωτές, ευκολότερο να προωθηθεί και που θα μειώσει το διοικητικό κόστος διαχείρισης του συστήματος.</w:t>
      </w:r>
    </w:p>
    <w:p w:rsidR="00A57BFD" w:rsidRPr="005B0D19" w:rsidRDefault="005B0D19">
      <w:pPr>
        <w:spacing w:before="0" w:after="240"/>
        <w:rPr>
          <w:noProof/>
        </w:rPr>
      </w:pPr>
      <w:r w:rsidRPr="005B0D19">
        <w:rPr>
          <w:noProof/>
        </w:rPr>
        <w:t xml:space="preserve">Σχετικά με τους κανόνες για τις γεωγραφικές ενδείξεις που αφορούν τον οίνο, ο περιορισμός του ελέγχου των αιτήσεων από την ΕΕ για τον έλεγχο αυτών από πρόδηλα σφάλματα, ο διαχωρισμός των κανόνων πνευματικής ιδιοκτησίας από άλλες προϋποθέσεις που καθορίζονται στις προδιαγραφές του προϊόντος καθώς και η εξουσιοδότηση των κρατών μελών να αποφασίζουν για τροποποιήσεις που δεν έχουν επιπτώσεις σε επίπεδο ΕΕ, θα βελτιώσουν τις εγκρίσεις, θα μειώσουν τα χρονοδιαγράμματα και θα εξορθολογίσουν τους πόρους, σύμφωνα με τις δίδυμες αρχές της επικουρικότητας και της αναλογικότητας. Ομοίως, προβλέπεται η απλούστευση ορισμένων ειδικών διαδικασιών, όπως η διαδικασία ένστασης, προκειμένου να καταστεί αποτελεσματικότερη η διαδικασία έγκρισης. </w:t>
      </w:r>
    </w:p>
    <w:p w:rsidR="00A57BFD" w:rsidRPr="005B0D19" w:rsidRDefault="005B0D19">
      <w:pPr>
        <w:spacing w:before="0" w:after="240"/>
        <w:rPr>
          <w:noProof/>
        </w:rPr>
      </w:pPr>
      <w:r w:rsidRPr="005B0D19">
        <w:rPr>
          <w:noProof/>
        </w:rPr>
        <w:t>Η διευκρίνιση του ορισμού «Προστατευόμενη Ονομασία Προέλευσης» για τους οίνους θα επιτρέψει στις ομάδες παραγωγών να χρησιμοποιήσουν νέες ποικιλίες που απαιτούνται επίσης για την αντιμετώπιση της κλιματικής αλλαγής και θα επιτρέψουν την ορθή αιτιολόγηση των εφαρμογών σύμφωνα με την αμπελουργική και οινολογική πραγματικότητα. Επίσης προτείνεται η ενίσχυση της προστασίας των γεωγραφικών ενδείξεων έναντι των πλαστών ενδείξεων στο διαδίκτυο και σε εμπορεύματα υπό διαμετακόμιση.</w:t>
      </w:r>
    </w:p>
    <w:p w:rsidR="00A57BFD" w:rsidRPr="005B0D19" w:rsidRDefault="005B0D19">
      <w:pPr>
        <w:spacing w:before="0" w:after="240"/>
        <w:rPr>
          <w:noProof/>
        </w:rPr>
      </w:pPr>
      <w:r w:rsidRPr="005B0D19">
        <w:rPr>
          <w:noProof/>
        </w:rPr>
        <w:t>Η απλούστευση που προτείνεται για τις γεωγραφικές ενδείξεις στον οινολογικό τομέα, θα πρέπει να εφαρμοστεί και σε γεωργικά προϊόντα και τρόφιμα: για να διασφαλιστεί η συνοχή μεταξύ των συστημάτων και οι παραγωγοί των γεωγραφικών ενδείξεων να απολαύσουν τα προαναφερθέντα οφέλη και σε αυτόν τον τομέα. Το σύστημα γεωγραφικών ενδείξεων αρωματισμένων οίνων που έχει μόνο 5 από τις 3350 γεωγραφικές ενδείξεις δεν μπορεί να λειτουργήσει και θα πρέπει να συγχωνευθεί σε άλλο σύστημα. Το σύστημα για τα γεωργικά προϊόντα και τα τρόφιμα είναι κατάλληλο καθώς καλύπτει ήδη και άλλα οινοπνευματώδη ποτά.</w:t>
      </w:r>
    </w:p>
    <w:p w:rsidR="00A57BFD" w:rsidRPr="005B0D19" w:rsidRDefault="005B0D19">
      <w:pPr>
        <w:pBdr>
          <w:top w:val="nil"/>
          <w:left w:val="nil"/>
          <w:bottom w:val="nil"/>
          <w:right w:val="nil"/>
          <w:between w:val="nil"/>
          <w:bar w:val="nil"/>
        </w:pBdr>
        <w:spacing w:before="0" w:after="240"/>
        <w:rPr>
          <w:noProof/>
        </w:rPr>
      </w:pPr>
      <w:r w:rsidRPr="005B0D19">
        <w:rPr>
          <w:noProof/>
        </w:rPr>
        <w:t>Επιπλέον, ο κανονισμός προβλέπει διατάξεις που στην πραγματικότητα αποτελούν απλώς εσωτερικές νομοθετικές δεσμεύσεις της ΕΕ και των κρατών μελών της στο πλαίσιο των πρόσφατων υπουργικών αποφάσεων του Παγκόσμιου Οργανισμού Εμπορίου, ιδίως όσον αφορά τις επιδοτήσεις των εξαγωγών και γενικότερα τα μέτρα για τον ανταγωνισμό στις εξαγωγές.</w:t>
      </w:r>
    </w:p>
    <w:p w:rsidR="00A57BFD" w:rsidRPr="005B0D19" w:rsidRDefault="005B0D19">
      <w:pPr>
        <w:pBdr>
          <w:top w:val="nil"/>
          <w:left w:val="nil"/>
          <w:bottom w:val="nil"/>
          <w:right w:val="nil"/>
          <w:between w:val="nil"/>
          <w:bar w:val="nil"/>
        </w:pBdr>
        <w:spacing w:before="0" w:after="240"/>
        <w:rPr>
          <w:rFonts w:eastAsia="Arial Unicode MS"/>
          <w:noProof/>
        </w:rPr>
      </w:pPr>
      <w:r w:rsidRPr="005B0D19">
        <w:rPr>
          <w:noProof/>
        </w:rPr>
        <w:t>Τέλος, προτείνεται η απαλοιφή ορισμένων παρωχημένων διατάξεων, μεταξύ άλλων του συστήματος ρύθμισης της παραγωγής και των απαιτήσεων όσον αφορά τον τομέα της ζάχαρης που έληξαν στο τέλος της περιόδου εμπορίας 2016/2017.</w:t>
      </w:r>
    </w:p>
    <w:p w:rsidR="00A57BFD" w:rsidRPr="005B0D19" w:rsidRDefault="00A57BFD">
      <w:pPr>
        <w:rPr>
          <w:noProof/>
        </w:rPr>
      </w:pPr>
    </w:p>
    <w:p w:rsidR="00A57BFD" w:rsidRPr="005B0D19" w:rsidRDefault="00A57BFD">
      <w:pPr>
        <w:rPr>
          <w:noProof/>
        </w:rPr>
        <w:sectPr w:rsidR="00A57BFD" w:rsidRPr="005B0D19" w:rsidSect="005B0D19">
          <w:footerReference w:type="default" r:id="rId18"/>
          <w:footerReference w:type="first" r:id="rId19"/>
          <w:pgSz w:w="11907" w:h="16839"/>
          <w:pgMar w:top="1134" w:right="1417" w:bottom="1134" w:left="1417" w:header="709" w:footer="709" w:gutter="0"/>
          <w:cols w:space="708"/>
          <w:docGrid w:linePitch="360"/>
        </w:sectPr>
      </w:pPr>
    </w:p>
    <w:p w:rsidR="00A57BFD" w:rsidRPr="005B0D19" w:rsidRDefault="005B0D19" w:rsidP="005B0D19">
      <w:pPr>
        <w:pStyle w:val="Rfrenceinterinstitutionnelle"/>
        <w:rPr>
          <w:noProof/>
        </w:rPr>
      </w:pPr>
      <w:r w:rsidRPr="005B0D19">
        <w:lastRenderedPageBreak/>
        <w:t>2018/0217 (COD)</w:t>
      </w:r>
    </w:p>
    <w:p w:rsidR="00A57BFD" w:rsidRPr="005B0D19" w:rsidRDefault="005B0D19" w:rsidP="005B0D19">
      <w:pPr>
        <w:pStyle w:val="Statut"/>
        <w:rPr>
          <w:noProof/>
        </w:rPr>
      </w:pPr>
      <w:r w:rsidRPr="005B0D19">
        <w:t>Πρόταση</w:t>
      </w:r>
    </w:p>
    <w:p w:rsidR="00A57BFD" w:rsidRPr="005B0D19" w:rsidRDefault="005B0D19" w:rsidP="005B0D19">
      <w:pPr>
        <w:pStyle w:val="Typedudocument"/>
        <w:rPr>
          <w:noProof/>
        </w:rPr>
      </w:pPr>
      <w:r w:rsidRPr="005B0D19">
        <w:t>ΚΑΝΟΝΙΣΜΟΣ ΤΟΥ ΕΥΡΩΠΑΪΚΟΥ ΚΟΙΝΟΒΟΥΛΙΟΥ ΚΑΙ ΤΟΥ ΣΥΜΒΟΥΛΙΟΥ</w:t>
      </w:r>
    </w:p>
    <w:p w:rsidR="00A57BFD" w:rsidRPr="005B0D19" w:rsidRDefault="005B0D19" w:rsidP="005B0D19">
      <w:pPr>
        <w:pStyle w:val="Titreobjet"/>
        <w:rPr>
          <w:noProof/>
        </w:rPr>
      </w:pPr>
      <w:r w:rsidRPr="005B0D19">
        <w:t>σχετικά με τη χρηματοδότηση, τη διαχείριση και την παρακολούθηση της κοινής γεωργικής πολιτικής και την κατάργηση του κανονισμού (ΕΕ) αριθ. 1306/2013</w:t>
      </w:r>
    </w:p>
    <w:p w:rsidR="00A57BFD" w:rsidRPr="005B0D19" w:rsidRDefault="005B0D19">
      <w:pPr>
        <w:pStyle w:val="Institutionquiagit"/>
        <w:rPr>
          <w:noProof/>
        </w:rPr>
      </w:pPr>
      <w:r w:rsidRPr="005B0D19">
        <w:rPr>
          <w:noProof/>
        </w:rPr>
        <w:t>ΤΟ ΕΥΡΩΠΑΪΚΟ ΚΟΙΝΟΒΟΥΛΙΟ ΚΑΙ ΤΟ ΣΥΜΒΟΥΛΙΟ ΤΗΣ ΕΥΡΩΠΑΪΚΗΣ ΕΝΩΣΗΣ,</w:t>
      </w:r>
    </w:p>
    <w:p w:rsidR="00A57BFD" w:rsidRPr="005B0D19" w:rsidRDefault="005B0D19">
      <w:pPr>
        <w:rPr>
          <w:noProof/>
        </w:rPr>
      </w:pPr>
      <w:r w:rsidRPr="005B0D19">
        <w:rPr>
          <w:noProof/>
        </w:rPr>
        <w:t>Έχοντας υπόψη τη συνθήκη για τη λειτουργία της Ευρωπαϊκής Ένωσης, και ιδίως το άρθρο</w:t>
      </w:r>
      <w:r>
        <w:rPr>
          <w:noProof/>
        </w:rPr>
        <w:t> </w:t>
      </w:r>
      <w:r w:rsidRPr="005B0D19">
        <w:rPr>
          <w:noProof/>
        </w:rPr>
        <w:t>43 παράγραφος</w:t>
      </w:r>
      <w:r>
        <w:rPr>
          <w:noProof/>
        </w:rPr>
        <w:t> </w:t>
      </w:r>
      <w:r w:rsidRPr="005B0D19">
        <w:rPr>
          <w:noProof/>
        </w:rPr>
        <w:t>2,</w:t>
      </w:r>
    </w:p>
    <w:p w:rsidR="00A57BFD" w:rsidRPr="005B0D19" w:rsidRDefault="005B0D19">
      <w:pPr>
        <w:rPr>
          <w:noProof/>
        </w:rPr>
      </w:pPr>
      <w:r w:rsidRPr="005B0D19">
        <w:rPr>
          <w:noProof/>
        </w:rPr>
        <w:t>Έχοντας υπόψη την πρόταση της Ευρωπαϊκής Επιτροπής,</w:t>
      </w:r>
    </w:p>
    <w:p w:rsidR="00A57BFD" w:rsidRPr="005B0D19" w:rsidRDefault="005B0D19">
      <w:pPr>
        <w:rPr>
          <w:noProof/>
        </w:rPr>
      </w:pPr>
      <w:r w:rsidRPr="005B0D19">
        <w:rPr>
          <w:noProof/>
        </w:rPr>
        <w:t>Μετά από διαβίβαση του σχεδίου νομοθετικής πράξης στα εθνικά κοινοβούλια,</w:t>
      </w:r>
    </w:p>
    <w:p w:rsidR="00A57BFD" w:rsidRPr="005B0D19" w:rsidRDefault="005B0D19">
      <w:pPr>
        <w:rPr>
          <w:noProof/>
        </w:rPr>
      </w:pPr>
      <w:r w:rsidRPr="005B0D19">
        <w:rPr>
          <w:noProof/>
        </w:rPr>
        <w:t>Έχοντας υπόψη τη γνώμη του Ευρωπαϊκού Ελεγκτικού Συνεδρίου,</w:t>
      </w:r>
    </w:p>
    <w:p w:rsidR="00A57BFD" w:rsidRPr="005B0D19" w:rsidRDefault="005B0D19">
      <w:pPr>
        <w:rPr>
          <w:noProof/>
        </w:rPr>
      </w:pPr>
      <w:r w:rsidRPr="005B0D19">
        <w:rPr>
          <w:noProof/>
        </w:rPr>
        <w:t>Έχοντας υπόψη τη γνώμη της Ευρωπαϊκής Οικονομικής και Κοινωνικής Επιτροπής</w:t>
      </w:r>
      <w:r>
        <w:rPr>
          <w:rStyle w:val="af7"/>
          <w:noProof/>
        </w:rPr>
        <w:footnoteReference w:id="9"/>
      </w:r>
      <w:r w:rsidRPr="005B0D19">
        <w:rPr>
          <w:noProof/>
        </w:rPr>
        <w:t>,</w:t>
      </w:r>
    </w:p>
    <w:p w:rsidR="00A57BFD" w:rsidRPr="005B0D19" w:rsidRDefault="005B0D19">
      <w:pPr>
        <w:rPr>
          <w:noProof/>
        </w:rPr>
      </w:pPr>
      <w:r w:rsidRPr="005B0D19">
        <w:rPr>
          <w:noProof/>
        </w:rPr>
        <w:t>Έχοντας υπόψη τη γνώμη της Επιτροπής των Περιφερειών</w:t>
      </w:r>
      <w:r>
        <w:rPr>
          <w:rStyle w:val="af7"/>
          <w:noProof/>
        </w:rPr>
        <w:footnoteReference w:id="10"/>
      </w:r>
      <w:r w:rsidRPr="005B0D19">
        <w:rPr>
          <w:noProof/>
        </w:rPr>
        <w:t>,</w:t>
      </w:r>
    </w:p>
    <w:p w:rsidR="00A57BFD" w:rsidRPr="005B0D19" w:rsidRDefault="005B0D19">
      <w:pPr>
        <w:rPr>
          <w:noProof/>
        </w:rPr>
      </w:pPr>
      <w:r w:rsidRPr="005B0D19">
        <w:rPr>
          <w:noProof/>
        </w:rPr>
        <w:t>Αποφασίζοντας σύμφωνα με τη συνήθη νομοθετική διαδικασία,</w:t>
      </w:r>
    </w:p>
    <w:p w:rsidR="00A57BFD" w:rsidRPr="005B0D19" w:rsidRDefault="005B0D19">
      <w:pPr>
        <w:rPr>
          <w:noProof/>
        </w:rPr>
      </w:pPr>
      <w:r w:rsidRPr="005B0D19">
        <w:rPr>
          <w:noProof/>
        </w:rPr>
        <w:t>Εκτιμώντας τα ακόλουθα:</w:t>
      </w:r>
    </w:p>
    <w:p w:rsidR="00A57BFD" w:rsidRPr="005B0D19" w:rsidRDefault="005B0D19">
      <w:pPr>
        <w:pStyle w:val="ManualConsidrant"/>
        <w:rPr>
          <w:noProof/>
        </w:rPr>
      </w:pPr>
      <w:r w:rsidRPr="005B0D19">
        <w:t>(1)</w:t>
      </w:r>
      <w:r w:rsidRPr="005B0D19">
        <w:tab/>
      </w:r>
      <w:r w:rsidRPr="005B0D19">
        <w:rPr>
          <w:noProof/>
        </w:rPr>
        <w:t>Η ανακοίνωση της Επιτροπής προς το Ευρωπαϊκό Κοινοβούλιο, το Συμβούλιο, την Ευρωπαϊκή Οικονομική και Κοινωνική Επιτροπή και την Επιτροπή των Περιφερειών με τίτλο «Το μέλλον των τροφίμων και της γεωργίας» της 29ης</w:t>
      </w:r>
      <w:r>
        <w:rPr>
          <w:noProof/>
        </w:rPr>
        <w:t> </w:t>
      </w:r>
      <w:r w:rsidRPr="005B0D19">
        <w:rPr>
          <w:noProof/>
        </w:rPr>
        <w:t xml:space="preserve">Νοεμβρίου 2017 καταλήγει στο συμπέρασμα ότι η Κοινή Γεωργική Πολιτική (στο εξής «ΚΓΠ») θα πρέπει να συνεχίσει να ενισχύει την ανταπόκρισή της στις μελλοντικές προκλήσεις και ευκαιρίες, ενισχύοντας την απασχόληση, την ανάπτυξη και τις επενδύσεις, καταπολεμώντας και προσαρμόζοντας την αλλαγή του κλίματος και προωθώντας την έρευνα και την καινοτομία όχι μόνο στα εργαστήρια, αλλά και επί τόπου στους διάφορους τομείς και τις αγορές. Η ΚΓΠ θα πρέπει επίσης να ασχοληθεί και με τις ανησυχίες των πολιτών σχετικά με τη βιώσιμη γεωργική παραγωγή. </w:t>
      </w:r>
    </w:p>
    <w:p w:rsidR="00A57BFD" w:rsidRPr="005B0D19" w:rsidRDefault="005B0D19">
      <w:pPr>
        <w:pStyle w:val="ManualConsidrant"/>
        <w:rPr>
          <w:noProof/>
        </w:rPr>
      </w:pPr>
      <w:r w:rsidRPr="005B0D19">
        <w:t>(2)</w:t>
      </w:r>
      <w:r w:rsidRPr="005B0D19">
        <w:tab/>
      </w:r>
      <w:r w:rsidRPr="005B0D19">
        <w:rPr>
          <w:noProof/>
        </w:rPr>
        <w:t>[Σχετικές αποφάσεις του Συμβουλίου και του ΕΚ]</w:t>
      </w:r>
    </w:p>
    <w:p w:rsidR="00A57BFD" w:rsidRPr="005B0D19" w:rsidRDefault="005B0D19">
      <w:pPr>
        <w:pStyle w:val="ManualConsidrant"/>
        <w:rPr>
          <w:noProof/>
        </w:rPr>
      </w:pPr>
      <w:r w:rsidRPr="005B0D19">
        <w:t>(3)</w:t>
      </w:r>
      <w:r w:rsidRPr="005B0D19">
        <w:tab/>
      </w:r>
      <w:r w:rsidRPr="005B0D19">
        <w:rPr>
          <w:noProof/>
        </w:rPr>
        <w:t xml:space="preserve">Το βασιζόμενο στη συμμόρφωση μοντέλο υλοποίησης της ΚΓΠ θα πρέπει να προσαρμοστεί ώστε να εξασφαλίζει μεγαλύτερη εστίαση στα αποτελέσματα και τις επιδόσεις. Ως εκ τούτου, η Ένωση θα πρέπει να ορίσει τους βασικούς στόχους πολιτικής, τους τύπους των παρεμβάσεων και τις βασικές απαιτήσεις της Ένωσης, ενώ τα κράτη μέλη θα πρέπει να αναλάβουν μεγαλύτερη ευθύνη και υποχρέωση λογοδοσίας για την επίτευξη των στόχων αυτών. Κατά συνέπεια, υπάρχει ανάγκη να εξασφαλισθεί μεγαλύτερη επικουρικότητα προκειμένου να ληφθούν καλύτερα υπόψη οι τοπικές συνθήκες και ανάγκες.  Σύμφωνα με το νέο μοντέλο υλοποίησης, τα κράτη μέλη θα πρέπει να είναι υπεύθυνα για την προσαρμογή των παρεμβάσεών τους για την </w:t>
      </w:r>
      <w:r w:rsidRPr="005B0D19">
        <w:rPr>
          <w:noProof/>
        </w:rPr>
        <w:lastRenderedPageBreak/>
        <w:t xml:space="preserve">ΚΓΠ στις βασικές απαιτήσεις της Ένωσης για τη μεγιστοποίηση της συμβολής τους στους ενωσιακούς στόχους για την ΚΓΠ και για τη θέσπιση και τον σχεδιασμό του πλαισίου συμμόρφωσης και ελέγχου για τους δικαιούχους. </w:t>
      </w:r>
    </w:p>
    <w:p w:rsidR="00A57BFD" w:rsidRPr="005B0D19" w:rsidRDefault="005B0D19">
      <w:pPr>
        <w:pStyle w:val="ManualConsidrant"/>
        <w:rPr>
          <w:noProof/>
        </w:rPr>
      </w:pPr>
      <w:r w:rsidRPr="005B0D19">
        <w:t>(4)</w:t>
      </w:r>
      <w:r w:rsidRPr="005B0D19">
        <w:tab/>
      </w:r>
      <w:r w:rsidRPr="005B0D19">
        <w:rPr>
          <w:noProof/>
        </w:rPr>
        <w:t>Η ΚΓΠ περιλαμβάνει διάφορες παρεμβάσεις και μέτρα, πολλά εκ των οποίων καλύπτονται από τα στρατηγικά σχέδια της ΚΓΠ, τα οποία αναφέρονται στον τίτλο</w:t>
      </w:r>
      <w:r>
        <w:rPr>
          <w:noProof/>
        </w:rPr>
        <w:t> </w:t>
      </w:r>
      <w:r w:rsidRPr="005B0D19">
        <w:rPr>
          <w:noProof/>
        </w:rPr>
        <w:t>ΙΙΙ του κανονισμού (ΕΕ) …/… του Ευρωπαϊκού Κοινοβουλίου και του Συμβουλίου</w:t>
      </w:r>
      <w:r>
        <w:rPr>
          <w:rStyle w:val="af7"/>
          <w:noProof/>
        </w:rPr>
        <w:footnoteReference w:id="11"/>
      </w:r>
      <w:r w:rsidRPr="005B0D19">
        <w:rPr>
          <w:noProof/>
        </w:rPr>
        <w:t xml:space="preserve"> [κανονισμός για το στρατηγικό σχέδιο της ΚΓΠ]. Άλλες παρεμβάσεις και μέτρα εξακολουθούν να ακολουθούν την παραδοσιακή λογική συμμόρφωσης. Είναι σημαντικό να παρέχεται χρηματοδότηση για όλες τις παρεμβάσεις και τα μέτρα, προκειμένου να συμβάλλουν στην επίτευξη των στόχων της ΚΓΠ. Οι εν λόγω παρεμβάσεις και μέτρα έχουν ορισμένα κοινά στοιχεία, επομένως η χρηματοδότησή τους θα πρέπει να εξετασθεί στο ίδιο σύνολο διατάξεων. Ωστόσο, εάν κρίνεται αναγκαίο, οι εν λόγω διατάξεις θα πρέπει να επιτρέπουν διαφορετική μεταχείριση. Ο κανονισμός (ΕΕ) αριθ. 1306/2013 του Ευρωπαϊκού Κοινοβουλίου και του Συμβουλίου</w:t>
      </w:r>
      <w:r>
        <w:rPr>
          <w:rStyle w:val="af7"/>
          <w:noProof/>
        </w:rPr>
        <w:footnoteReference w:id="12"/>
      </w:r>
      <w:r w:rsidRPr="005B0D19">
        <w:rPr>
          <w:noProof/>
        </w:rPr>
        <w:t xml:space="preserve"> διέπει δύο ευρωπαϊκά γεωργικά ταμεία, συγκεκριμένα το Ευρωπαϊκό Γεωργικό Ταμείο Εγγυήσεων (ΕΓΤΕ) και το Ευρωπαϊκό Γεωργικό Ταμείο Αγροτικής Ανάπτυξης (ΕΓΤΑΑ) (στο εξής τα «ταμεία»). Τα ταμεία αυτά θα πρέπει να διατηρηθούν στον παρόντα κανονισμό. Λόγω του εύρους της μεταρρύθμισης, είναι σκόπιμο να αντικατασταθεί ο κανονισμός (ΕΕ) αριθ.</w:t>
      </w:r>
      <w:r>
        <w:rPr>
          <w:noProof/>
        </w:rPr>
        <w:t> </w:t>
      </w:r>
      <w:r w:rsidRPr="005B0D19">
        <w:rPr>
          <w:noProof/>
        </w:rPr>
        <w:t>1306/2013.</w:t>
      </w:r>
    </w:p>
    <w:p w:rsidR="00A57BFD" w:rsidRPr="005B0D19" w:rsidRDefault="005B0D19">
      <w:pPr>
        <w:pStyle w:val="ManualConsidrant"/>
        <w:rPr>
          <w:noProof/>
        </w:rPr>
      </w:pPr>
      <w:r w:rsidRPr="005B0D19">
        <w:t>(5)</w:t>
      </w:r>
      <w:r w:rsidRPr="005B0D19">
        <w:tab/>
      </w:r>
      <w:r w:rsidRPr="005B0D19">
        <w:rPr>
          <w:noProof/>
        </w:rPr>
        <w:t>Οι διατάξεις του κανονισμού (ΕΕ, Ευρατόμ)…/… του Ευρωπαϊκού Κοινοβουλίου και του Συμβουλίου [νέος δημοσιονομικός κανονισμός]</w:t>
      </w:r>
      <w:r>
        <w:rPr>
          <w:rStyle w:val="af7"/>
          <w:noProof/>
        </w:rPr>
        <w:footnoteReference w:id="13"/>
      </w:r>
      <w:r w:rsidRPr="005B0D19">
        <w:rPr>
          <w:noProof/>
        </w:rPr>
        <w:t>, ιδίως εκείνες που διέπουν την επιμερισμένη διαχείριση με τα κράτη μέλη, τη λειτουργία των διαπιστευμένων οργανισμών και τις αρχές του προϋπολογισμού, θα πρέπει να εφαρμόζονται στις παρεμβάσεις και τα μέτρα που ορίζονται στον παρόντα κανονισμό.</w:t>
      </w:r>
    </w:p>
    <w:p w:rsidR="00A57BFD" w:rsidRPr="005B0D19" w:rsidRDefault="005B0D19">
      <w:pPr>
        <w:pStyle w:val="ManualConsidrant"/>
        <w:rPr>
          <w:noProof/>
        </w:rPr>
      </w:pPr>
      <w:r w:rsidRPr="005B0D19">
        <w:t>(6)</w:t>
      </w:r>
      <w:r w:rsidRPr="005B0D19">
        <w:tab/>
      </w:r>
      <w:r w:rsidRPr="005B0D19">
        <w:rPr>
          <w:noProof/>
        </w:rPr>
        <w:t>Για την εναρμόνιση των πρακτικών μεταξύ των κρατών μελών κατά την εφαρμογή της ρήτρας ανωτέρας βίας, ο παρών κανονισμός θα πρέπει να προβλέπει, όπου κρίνεται σκόπιμο, εξαιρέσεις</w:t>
      </w:r>
      <w:r w:rsidRPr="005B0D19">
        <w:rPr>
          <w:i/>
          <w:noProof/>
        </w:rPr>
        <w:t xml:space="preserve"> </w:t>
      </w:r>
      <w:r w:rsidRPr="005B0D19">
        <w:rPr>
          <w:noProof/>
        </w:rPr>
        <w:t xml:space="preserve">από την ΚΓΠ σε περιπτώσεις ανωτέρας βίας και εξαιρετικών περιστάσεων, καθώς και ενδεικτικό κατάλογο πιθανών περιπτώσεων ανωτέρας βίας και εξαιρετικών περιστάσεων που θα πρέπει να αναγνωρίζονται από τις εθνικές αρμόδιες αρχές. Οι αρμόδιες εθνικές αρχές θα πρέπει να λαμβάνουν αποφάσεις σχετικά με τις περιστάσεις ανωτέρας βίας ή έκτακτες περιστάσεις, κατά περίπτωση, με βάση τα εκάστοτε αποδεικτικά στοιχεία. </w:t>
      </w:r>
    </w:p>
    <w:p w:rsidR="00A57BFD" w:rsidRPr="005B0D19" w:rsidRDefault="005B0D19">
      <w:pPr>
        <w:pStyle w:val="ManualConsidrant"/>
        <w:rPr>
          <w:noProof/>
        </w:rPr>
      </w:pPr>
      <w:r w:rsidRPr="005B0D19">
        <w:t>(7)</w:t>
      </w:r>
      <w:r w:rsidRPr="005B0D19">
        <w:tab/>
      </w:r>
      <w:r w:rsidRPr="005B0D19">
        <w:rPr>
          <w:noProof/>
        </w:rPr>
        <w:t>Ο γενικός προϋπολογισμός της Ένωσης (ο προϋπολογισμός της Ένωσης) θα πρέπει να χρηματοδοτεί τις δαπάνες της ΚΓΠ, συμπεριλαμβανομένων των δαπανών για τις παρεμβάσεις στο στρατηγικό σχέδιο της ΚΓΠ βάσει του τίτλου</w:t>
      </w:r>
      <w:r>
        <w:rPr>
          <w:noProof/>
        </w:rPr>
        <w:t> </w:t>
      </w:r>
      <w:r w:rsidRPr="005B0D19">
        <w:rPr>
          <w:noProof/>
        </w:rPr>
        <w:t xml:space="preserve">ΙΙΙ του κανονισμού (ΕΕ) …/… </w:t>
      </w:r>
      <w:r>
        <w:rPr>
          <w:noProof/>
        </w:rPr>
        <w:t xml:space="preserve">[κανονισμός για το στρατηγικό σχέδιο της ΚΓΠ] είτε άμεσα μέσω των ταμείων είτε στο πλαίσιο της επιμερισμένης διαχείρισης με τα κράτη μέλη. </w:t>
      </w:r>
      <w:r w:rsidRPr="005B0D19">
        <w:rPr>
          <w:noProof/>
        </w:rPr>
        <w:t>Θα πρέπει να προσδιοριστούν τα είδη των δαπανών που μπορούν να χρηματοδοτούνται από τα ταμεία αυτά.</w:t>
      </w:r>
    </w:p>
    <w:p w:rsidR="00A57BFD" w:rsidRPr="005B0D19" w:rsidRDefault="005B0D19">
      <w:pPr>
        <w:pStyle w:val="ManualConsidrant"/>
        <w:rPr>
          <w:noProof/>
        </w:rPr>
      </w:pPr>
      <w:r w:rsidRPr="005B0D19">
        <w:lastRenderedPageBreak/>
        <w:t>(8)</w:t>
      </w:r>
      <w:r w:rsidRPr="005B0D19">
        <w:tab/>
      </w:r>
      <w:r w:rsidRPr="005B0D19">
        <w:rPr>
          <w:noProof/>
        </w:rPr>
        <w:t>Προκειμένου να επιτευχθούν οι στόχοι της ΚΓΠ που προβλέπονται στο άρθρο</w:t>
      </w:r>
      <w:r>
        <w:rPr>
          <w:noProof/>
        </w:rPr>
        <w:t> </w:t>
      </w:r>
      <w:r w:rsidRPr="005B0D19">
        <w:rPr>
          <w:noProof/>
        </w:rPr>
        <w:t>39 της συνθήκης για τη λειτουργία της Ευρωπαϊκής Ένωσης («Συνθήκη») και να τηρηθεί η αρχή της επιμερισμένης διαχείρισης, όπως προβλέπεται στο άρθρο</w:t>
      </w:r>
      <w:r>
        <w:rPr>
          <w:noProof/>
        </w:rPr>
        <w:t> </w:t>
      </w:r>
      <w:r w:rsidRPr="005B0D19">
        <w:rPr>
          <w:noProof/>
        </w:rPr>
        <w:t xml:space="preserve">59 του κανονισμού (ΕΕ, Ευρατόμ) αριθ. 966/2012, τα κράτη μέλη θα πρέπει να εξασφαλίσουν τη δημιουργία των απαραίτητων συστημάτων διακυβέρνησης. Θα πρέπει, συνεπώς, να προβλεφθεί ο ορισμός της αρμόδιας αρχής, του οργανισμού πληρωμών, του συντονιστικού οργάνου και του οργανισμού πιστοποίησης. </w:t>
      </w:r>
    </w:p>
    <w:p w:rsidR="00A57BFD" w:rsidRPr="005B0D19" w:rsidRDefault="005B0D19">
      <w:pPr>
        <w:pStyle w:val="ManualConsidrant"/>
        <w:rPr>
          <w:noProof/>
        </w:rPr>
      </w:pPr>
      <w:r w:rsidRPr="005B0D19">
        <w:t>(9)</w:t>
      </w:r>
      <w:r w:rsidRPr="005B0D19">
        <w:tab/>
      </w:r>
      <w:r w:rsidRPr="005B0D19">
        <w:rPr>
          <w:noProof/>
        </w:rPr>
        <w:t xml:space="preserve">Είναι αναγκαίο να προβλεφθεί η διαπίστευση των οργανισμών πληρωμών και των οργανισμών συντονισμού από τα κράτη μέλη και η καθιέρωση διαδικασιών για τη σύνταξη δηλώσεων διαχείρισης και ετήσιων εκθέσεων επιδόσεων και για την πιστοποίηση των συστημάτων διαχείρισης και παρακολούθησης, των συστημάτων υποβολής εκθέσεων και την πιστοποίηση των ετήσιων λογαριασμών από ανεξάρτητους οργανισμούς. Επιπλέον, για να εξασφαλιστεί η διαφάνεια του συστήματος ελέγχων που πρέπει να διενεργούνται σε εθνικό επίπεδο, ιδίως όσον αφορά τις διαδικασίες έγκρισης, επικύρωσης και πληρωμής, και η μείωση της διοικητικής και ελεγκτικής επιβάρυνσης των υπηρεσιών της Επιτροπής και των κρατών μελών όπου απαιτείται διαπίστευση κάθε οργανισμού πληρωμών, θα πρέπει να μειωθεί ο αριθμός των αρχών και οργανισμών στους οποίους ανατίθενται οι αρμοδιότητες αυτές, τηρουμένων παράλληλα των συνταγματικών διατάξεων κάθε κράτους μέλους. </w:t>
      </w:r>
    </w:p>
    <w:p w:rsidR="00A57BFD" w:rsidRPr="005B0D19" w:rsidRDefault="005B0D19">
      <w:pPr>
        <w:pStyle w:val="ManualConsidrant"/>
        <w:rPr>
          <w:noProof/>
        </w:rPr>
      </w:pPr>
      <w:r w:rsidRPr="005B0D19">
        <w:t>(10)</w:t>
      </w:r>
      <w:r w:rsidRPr="005B0D19">
        <w:tab/>
      </w:r>
      <w:r w:rsidRPr="005B0D19">
        <w:rPr>
          <w:noProof/>
        </w:rPr>
        <w:t>Όταν ένα κράτος μέλος διαπιστεύει πλείονες οργανισμούς πληρωμών, θα πρέπει να ορίζει έναν μόνο δημόσιο οργανισμό συντονισμού για να διασφαλίζει τη συνεπή διαχείριση των ταμείων, να λειτουργεί ως σύνδεσμος μεταξύ της Επιτροπής και των διάφορων διαπιστευμένων οργανισμών πληρωμών και να μεριμνά για την άμεση διαβίβαση των στοιχείων που ζητά η Επιτροπή σχετικά με τις δραστηριότητες των διαφόρων οργανισμών πληρωμών. Ο οργανισμός συντονισμού θα πρέπει επίσης να αναλαμβάνει και να συντονίζει δράσεις για τη διόρθωση ελλείψεων κοινής φύσης που παρουσιάζονται σε εθνικό επίπεδο και να τηρεί την Επιτροπή ενήμερη σχετικά με τις επακόλουθες ενέργειες.</w:t>
      </w:r>
    </w:p>
    <w:p w:rsidR="00A57BFD" w:rsidRPr="005B0D19" w:rsidRDefault="005B0D19">
      <w:pPr>
        <w:pStyle w:val="ManualConsidrant"/>
        <w:rPr>
          <w:noProof/>
        </w:rPr>
      </w:pPr>
      <w:r w:rsidRPr="005B0D19">
        <w:t>(11)</w:t>
      </w:r>
      <w:r w:rsidRPr="005B0D19">
        <w:tab/>
      </w:r>
      <w:r w:rsidRPr="005B0D19">
        <w:rPr>
          <w:noProof/>
        </w:rPr>
        <w:t>Η εμπλοκή των οργανισμών πληρωμών που έχουν διαπιστευθεί από τα κράτη μέλη αποτελεί βασική προϋπόθεση στο νέο μοντέλο υλοποίησης, προκειμένου να υπάρξει εύλογη διαβεβαίωση ότι οι στόχοι και οι σκοποί που καθορίζονται στα σχετικά στρατηγικά σχέδια της ΚΓΠ θα επιτευχθούν με τις παρεμβάσεις που χρηματοδοτούνται από τον προϋπολογισμό της Ένωσης. Ως εκ τούτου, θα πρέπει να προβλέπεται ρητά στον παρόντα κανονισμό ότι μόνο οι δαπάνες που πραγματοποιούνται από τους διαπιστευμένους οργανισμούς πληρωμών μπορούν να επιστρέφονται από τον ενωσιακό προϋπολογισμό. Επιπλέον, οι δαπάνες που χρηματοδοτούνται από την Ένωση για τις παρεμβάσεις που αναφέρονται στον κανονισμό για το στρατηγικό σχέδιο της ΚΓΠ θα πρέπει να έχουν αντίστοιχη εκροή και να συμμορφώνονται με τις βασικές ενωσιακές απαιτήσεις και τα συστήματα διακυβέρνησης.</w:t>
      </w:r>
    </w:p>
    <w:p w:rsidR="00A57BFD" w:rsidRPr="005B0D19" w:rsidRDefault="005B0D19">
      <w:pPr>
        <w:pStyle w:val="ManualConsidrant"/>
        <w:rPr>
          <w:noProof/>
        </w:rPr>
      </w:pPr>
      <w:r w:rsidRPr="005B0D19">
        <w:t>(12)</w:t>
      </w:r>
      <w:r w:rsidRPr="005B0D19">
        <w:tab/>
      </w:r>
      <w:r w:rsidRPr="005B0D19">
        <w:rPr>
          <w:noProof/>
        </w:rPr>
        <w:t xml:space="preserve">Στο πλαίσιο της τήρησης της δημοσιονομικής πειθαρχίας, είναι αναγκαίο να καθοριστεί το ετήσιο ανώτατο όριο για τις δαπάνες που χρηματοδοτούνται από το ΕΓΤΕ, λαμβανομένων υπόψη των ανώτατων ποσών που καθορίζονται για το ταμείο αυτό στο πλαίσιο του πολυετούς δημοσιονομικού πλαισίου που προβλέπεται στον </w:t>
      </w:r>
      <w:r w:rsidRPr="005B0D19">
        <w:rPr>
          <w:noProof/>
        </w:rPr>
        <w:lastRenderedPageBreak/>
        <w:t>κανονισμό (ΕΕ, Ευρατόμ) του Συμβουλίου [</w:t>
      </w:r>
      <w:r>
        <w:rPr>
          <w:noProof/>
        </w:rPr>
        <w:t>COM</w:t>
      </w:r>
      <w:r w:rsidRPr="005B0D19">
        <w:rPr>
          <w:noProof/>
        </w:rPr>
        <w:t xml:space="preserve">(2018)322 </w:t>
      </w:r>
      <w:r>
        <w:rPr>
          <w:noProof/>
        </w:rPr>
        <w:t>final</w:t>
      </w:r>
      <w:r w:rsidRPr="005B0D19">
        <w:rPr>
          <w:noProof/>
        </w:rPr>
        <w:t xml:space="preserve"> – κανονισμός ΠΔΠ]</w:t>
      </w:r>
      <w:r>
        <w:rPr>
          <w:rStyle w:val="af7"/>
          <w:noProof/>
        </w:rPr>
        <w:footnoteReference w:id="14"/>
      </w:r>
      <w:r w:rsidRPr="005B0D19">
        <w:rPr>
          <w:noProof/>
        </w:rPr>
        <w:t>.</w:t>
      </w:r>
    </w:p>
    <w:p w:rsidR="00A57BFD" w:rsidRDefault="005B0D19">
      <w:pPr>
        <w:pStyle w:val="ManualConsidrant"/>
        <w:rPr>
          <w:noProof/>
        </w:rPr>
      </w:pPr>
      <w:r w:rsidRPr="005B0D19">
        <w:t>(13)</w:t>
      </w:r>
      <w:r w:rsidRPr="005B0D19">
        <w:tab/>
      </w:r>
      <w:r w:rsidRPr="005B0D19">
        <w:rPr>
          <w:noProof/>
        </w:rPr>
        <w:t xml:space="preserve">Η δημοσιονομική πειθαρχία επιβάλλει επίσης την τήρηση του ετήσιου ανώτατου ορίου των δαπανών που χρηματοδοτούνται από το ΕΓΤΕ, σε όλες τις περιστάσεις και σε όλα τα στάδια της διαδικασίας του προϋπολογισμού και της εκτέλεσής του. Επομένως, είναι απαραίτητο το εθνικό ανώτατο όριο των άμεσων ενισχύσεων για κάθε κράτος μέλος που προβλέπεται στον κανονισμό (ΕΕ) …/… </w:t>
      </w:r>
      <w:r>
        <w:rPr>
          <w:noProof/>
        </w:rPr>
        <w:t xml:space="preserve">[κανονισμός για το στρατηγικό σχέδιο της ΚΓΠ] να θεωρείται δημοσιονομικό ανώτατο όριο για τις εν λόγω άμεσες ενισχύσεις και για το αντίστοιχο κράτος μέλος, οι δε επιστροφές των συγκεκριμένων πληρωμών δεν θα πρέπει να υπερβαίνουν το όριο αυτό. </w:t>
      </w:r>
    </w:p>
    <w:p w:rsidR="00A57BFD" w:rsidRPr="005B0D19" w:rsidRDefault="005B0D19">
      <w:pPr>
        <w:pStyle w:val="ManualConsidrant"/>
        <w:rPr>
          <w:noProof/>
        </w:rPr>
      </w:pPr>
      <w:r w:rsidRPr="005B0D19">
        <w:t>(14)</w:t>
      </w:r>
      <w:r w:rsidRPr="005B0D19">
        <w:tab/>
      </w:r>
      <w:r w:rsidRPr="005B0D19">
        <w:rPr>
          <w:noProof/>
        </w:rPr>
        <w:t>Για να εξασφαλίζεται ότι τα ποσά της χρηματοδότησης της ΚΓΠ δεν υπερβαίνουν τα ετήσια ανώτατα όρια, θα πρέπει να διατηρηθεί ο μηχανισμός δημοσιονομικής πειθαρχίας, που επιτρέπει την προσαρμογή του επιπέδου των άμεσων ενισχύσεων. Ωστόσο, θα πρέπει να καταργηθεί το όριο των 2</w:t>
      </w:r>
      <w:r>
        <w:rPr>
          <w:noProof/>
        </w:rPr>
        <w:t> </w:t>
      </w:r>
      <w:r w:rsidRPr="005B0D19">
        <w:rPr>
          <w:noProof/>
        </w:rPr>
        <w:t>000 ευρώ. Θα πρέπει να διατηρείται γεωργικό απόθεμα για τη στήριξη του γεωργικού τομέα σε περίπτωση που υπάρξουν εξελίξεις στην αγορά ή σοβαρές κρίσεις που επηρεάζουν τη γεωργική παραγωγή ή τη διανομή. Το άρθρο</w:t>
      </w:r>
      <w:r>
        <w:rPr>
          <w:noProof/>
        </w:rPr>
        <w:t> </w:t>
      </w:r>
      <w:r w:rsidRPr="005B0D19">
        <w:rPr>
          <w:noProof/>
        </w:rPr>
        <w:t>12 παράγραφος</w:t>
      </w:r>
      <w:r>
        <w:rPr>
          <w:noProof/>
        </w:rPr>
        <w:t> </w:t>
      </w:r>
      <w:r w:rsidRPr="005B0D19">
        <w:rPr>
          <w:noProof/>
        </w:rPr>
        <w:t>2 στοιχείο</w:t>
      </w:r>
      <w:r>
        <w:rPr>
          <w:noProof/>
        </w:rPr>
        <w:t> </w:t>
      </w:r>
      <w:r w:rsidRPr="005B0D19">
        <w:rPr>
          <w:noProof/>
        </w:rPr>
        <w:t>δ) του κανονισμού (ΕΕ, Ευρατόμ) [νέος δημοσιονομικός κανονισμός] προβλέπει ότι οι μη δεσμευθείσες πιστώσεις είναι δυνατόν να μεταφερθούν στο επόμενο οικονομικό έτος, και μόνο σε αυτό. Προκειμένου να απλουστευθεί σημαντικά η εφαρμογή για τους δικαιούχους και τις εθνικές διοικήσεις, θα πρέπει να χρησιμοποιηθεί ένας μηχανισμός μεταφοράς, με τον οποίο θα χρησιμοποιούνται τα μη χρησιμοποιηθέντα ποσά του αποθεματικού για τις κρίσεις στον γεωργικό τομέα το οποίο θα δημιουργηθεί το 2020. Για τον σκοπό αυτόν είναι αναγκαία παρέκκλιση από το άρθρο</w:t>
      </w:r>
      <w:r>
        <w:rPr>
          <w:noProof/>
        </w:rPr>
        <w:t> </w:t>
      </w:r>
      <w:r w:rsidRPr="005B0D19">
        <w:rPr>
          <w:noProof/>
        </w:rPr>
        <w:t>12 παράγραφος</w:t>
      </w:r>
      <w:r>
        <w:rPr>
          <w:noProof/>
        </w:rPr>
        <w:t> </w:t>
      </w:r>
      <w:r w:rsidRPr="005B0D19">
        <w:rPr>
          <w:noProof/>
        </w:rPr>
        <w:t>2 στοιχείο δ) που θα επιτρέπει να μεταφέρονται οι μη δεσμευθείσες πιστώσεις του γεωργικού αποθεματικού χωρίς χρονικό περιορισμό για τη χρηματοδότηση του γεωργικού αποθεματικού κατά το/τα επόμενο/-α οικονομικό/-ά έτος/-η. Επιπλέον, όσον αφορά το οικονομικό έτος 2020, είναι αναγκαία μια δεύτερη παρέκκλιση δεδομένου ότι το συνολικό μη χρησιμοποιηθέν ποσό του αποθεματικού που θα είναι διαθέσιμο στο τέλος του έτους 2020 θα πρέπει να μεταφερθεί στο έτος 2021 για την αντίστοιχη γραμμή του νέου γεωργικού αποθεματικού χωρίς να επιστραφεί στις γραμμές του προϋπολογισμού που καλύπτουν τις παρεμβάσεις με μορφή άμεσων ενισχύσεων στο πλαίσιο του στρατηγικού σχεδίου της ΚΓΠ.</w:t>
      </w:r>
    </w:p>
    <w:p w:rsidR="00A57BFD" w:rsidRPr="005B0D19" w:rsidRDefault="005B0D19">
      <w:pPr>
        <w:pStyle w:val="ManualConsidrant"/>
        <w:rPr>
          <w:noProof/>
        </w:rPr>
      </w:pPr>
      <w:r w:rsidRPr="005B0D19">
        <w:t>(15)</w:t>
      </w:r>
      <w:r w:rsidRPr="005B0D19">
        <w:tab/>
      </w:r>
      <w:r w:rsidRPr="005B0D19">
        <w:rPr>
          <w:noProof/>
        </w:rPr>
        <w:t xml:space="preserve">Προκειμένου να αποφευχθεί ο υπερβολικός διοικητικός φόρτος για τις εθνικές διοικήσεις και τους γεωργούς, θα πρέπει να προβλεφθεί ότι η επιστροφή των μεταφερθέντων ποσών από το προηγούμενο οικονομικό έτος σε σχέση με την εφαρμοζόμενη δημοσιονομική πειθαρχία δεν θα πρέπει να πραγματοποιείται είτε όταν εφαρμόζεται δημοσιονομική πειθαρχία για δεύτερο συναπτό έτος (έτος </w:t>
      </w:r>
      <w:r>
        <w:rPr>
          <w:noProof/>
        </w:rPr>
        <w:t>N</w:t>
      </w:r>
      <w:r w:rsidRPr="005B0D19">
        <w:rPr>
          <w:noProof/>
        </w:rPr>
        <w:t>+1) είτε όταν το συνολικό ποσό των μη δεσμευθεισών πιστώσεων αντιπροσωπεύει λιγότερο από το 0,2</w:t>
      </w:r>
      <w:r>
        <w:rPr>
          <w:noProof/>
        </w:rPr>
        <w:t> </w:t>
      </w:r>
      <w:r w:rsidRPr="005B0D19">
        <w:rPr>
          <w:noProof/>
        </w:rPr>
        <w:t xml:space="preserve">% του καθαρού ανώτατου ορίου του ΕΓΤΕ. </w:t>
      </w:r>
    </w:p>
    <w:p w:rsidR="00A57BFD" w:rsidRPr="005B0D19" w:rsidRDefault="005B0D19">
      <w:pPr>
        <w:pStyle w:val="ManualConsidrant"/>
        <w:rPr>
          <w:noProof/>
        </w:rPr>
      </w:pPr>
      <w:r w:rsidRPr="005B0D19">
        <w:t>(16)</w:t>
      </w:r>
      <w:r w:rsidRPr="005B0D19">
        <w:tab/>
      </w:r>
      <w:r w:rsidRPr="005B0D19">
        <w:rPr>
          <w:noProof/>
        </w:rPr>
        <w:t>Λαμβανομένων υπόψη των επιπέδων των αμέσων ενισχύσεων για γεωργούς στην Κροατία στο πλαίσιο εφαρμογής του μηχανισμού σταδιακής εισαγωγής στο σύνολο των αμέσων ενισχύσεων που χορηγούνται στο εν λόγω κράτος μέλος, το εν λόγω μέσο δημοσιονομικής πειθαρχίας θα πρέπει να εφαρμόζεται μόνο στην Κροατία από την 1η</w:t>
      </w:r>
      <w:r>
        <w:rPr>
          <w:noProof/>
        </w:rPr>
        <w:t> </w:t>
      </w:r>
      <w:r w:rsidRPr="005B0D19">
        <w:rPr>
          <w:noProof/>
        </w:rPr>
        <w:t>Ιανουαρίου 2022.</w:t>
      </w:r>
    </w:p>
    <w:p w:rsidR="00A57BFD" w:rsidRPr="005B0D19" w:rsidRDefault="005B0D19">
      <w:pPr>
        <w:pStyle w:val="ManualConsidrant"/>
        <w:rPr>
          <w:noProof/>
        </w:rPr>
      </w:pPr>
      <w:r w:rsidRPr="005B0D19">
        <w:lastRenderedPageBreak/>
        <w:t>(17)</w:t>
      </w:r>
      <w:r w:rsidRPr="005B0D19">
        <w:tab/>
      </w:r>
      <w:r w:rsidRPr="005B0D19">
        <w:rPr>
          <w:noProof/>
        </w:rPr>
        <w:t>Τα μέτρα για τον υπολογισμό των δημοσιονομικών ανώτατων ορίων που λαμβάνονται προκειμένου να προσδιοριστεί η χρηματοδοτική συνεισφορά του ΕΓΤΕ και του ΕΓΤΑΑ δεν θίγουν τις αρμοδιότητες της αρμόδιας για τον προϋπολογισμό αρχής που ορίζεται από τη Συνθήκη. Συνεπώς, τα μέτρα αυτά θα πρέπει να βασίζονται στα χρηματοδοτικά κονδύλια που καθορίζονται σύμφωνα με τη διοργανική συμφωνία της [...] [</w:t>
      </w:r>
      <w:r>
        <w:rPr>
          <w:noProof/>
        </w:rPr>
        <w:t>COM</w:t>
      </w:r>
      <w:r w:rsidRPr="005B0D19">
        <w:rPr>
          <w:noProof/>
        </w:rPr>
        <w:t xml:space="preserve">(2018) 322 </w:t>
      </w:r>
      <w:r>
        <w:rPr>
          <w:noProof/>
        </w:rPr>
        <w:t>final</w:t>
      </w:r>
      <w:r w:rsidRPr="005B0D19">
        <w:rPr>
          <w:noProof/>
        </w:rPr>
        <w:t xml:space="preserve"> - κανονισμός ΠΔΠ].</w:t>
      </w:r>
      <w:r w:rsidRPr="005B0D19">
        <w:rPr>
          <w:i/>
          <w:noProof/>
        </w:rPr>
        <w:t xml:space="preserve"> </w:t>
      </w:r>
    </w:p>
    <w:p w:rsidR="00A57BFD" w:rsidRPr="005B0D19" w:rsidRDefault="005B0D19">
      <w:pPr>
        <w:pStyle w:val="ManualConsidrant"/>
        <w:rPr>
          <w:noProof/>
        </w:rPr>
      </w:pPr>
      <w:r w:rsidRPr="005B0D19">
        <w:t>(18)</w:t>
      </w:r>
      <w:r w:rsidRPr="005B0D19">
        <w:tab/>
      </w:r>
      <w:r w:rsidRPr="005B0D19">
        <w:rPr>
          <w:noProof/>
        </w:rPr>
        <w:t>Η δημοσιονομική πειθαρχία συνεπάγεται επίσης συνεχή εξέταση της μεσοπρόθεσμης δημοσιονομικής θέσης. Η Επιτροπή θα πρέπει να προτείνει, εάν χρειαστεί, κατάλληλα μέτρα στον νομοθέτη προκειμένου να διασφαλίσει ότι τα κράτη μέλη θα τηρήσουν τα ανώτατα όρια που προβλέπονται στον κανονισμό (ΕΕ, Ευρατόμ) αριθ..../... του Ευρωπαϊκού Κοινοβουλίου και του Συμβουλίου [</w:t>
      </w:r>
      <w:r>
        <w:rPr>
          <w:noProof/>
        </w:rPr>
        <w:t>COM</w:t>
      </w:r>
      <w:r w:rsidRPr="005B0D19">
        <w:rPr>
          <w:noProof/>
        </w:rPr>
        <w:t xml:space="preserve">(2018) 322 </w:t>
      </w:r>
      <w:r>
        <w:rPr>
          <w:noProof/>
        </w:rPr>
        <w:t>final</w:t>
      </w:r>
      <w:r w:rsidRPr="005B0D19">
        <w:rPr>
          <w:noProof/>
        </w:rPr>
        <w:t xml:space="preserve"> - κανονισμός ΠΔΠ]</w:t>
      </w:r>
      <w:r w:rsidRPr="005B0D19">
        <w:rPr>
          <w:i/>
          <w:noProof/>
        </w:rPr>
        <w:t>.</w:t>
      </w:r>
      <w:r w:rsidRPr="005B0D19">
        <w:rPr>
          <w:noProof/>
        </w:rPr>
        <w:t xml:space="preserve"> Επιπλέον, η Επιτροπή θα πρέπει να ασκεί πλήρως και διαρκώς τις διαχειριστικές της αρμοδιότητες, ώστε να διασφαλίζει την τήρηση του ετήσιου ανώτατου ορίου και, εάν είναι απαραίτητο, θα πρέπει να προτείνει στο Ευρωπαϊκό Κοινοβούλιο και το Συμβούλιο ή στο Συμβούλιο κατάλληλα μέτρα για τη διόρθωση της δημοσιονομικής θέσης. Εάν στο τέλος ενός οικονομικού έτους οι αιτήσεις επιστροφών που έχουν υποβληθεί από τα κράτη μέλη καθιστούν ανέφικτη την τήρηση του ετήσιου ανώτατου ορίου, η Επιτροπή θα πρέπει να εξουσιοδοτείται να θεσπίζει μέτρα που να επιτρέπουν την προσωρινή κατανομή των διαθέσιμων πιστώσεων του προϋπολογισμού μεταξύ των κρατών μελών ανάλογα με τις αιτήσεις επιστροφών που εκκρεμούν καθώς και την τήρηση του ανώτατου ορίου για το συγκεκριμένο έτος. Οι πληρωμές του εν λόγω έτους θα πρέπει να καταλογίζονται στο επόμενο οικονομικό έτος και θα πρέπει επίσης να καθορίζεται το οριστικό συνολικό ποσό της ενωσιακής χρηματοδότησης ανά κράτος μέλος καθώς και η αντιστάθμιση μεταξύ των κρατών μελών, ώστε να τηρείται το καθορισμένο ποσό.</w:t>
      </w:r>
    </w:p>
    <w:p w:rsidR="00A57BFD" w:rsidRPr="005B0D19" w:rsidRDefault="005B0D19">
      <w:pPr>
        <w:pStyle w:val="ManualConsidrant"/>
        <w:rPr>
          <w:noProof/>
        </w:rPr>
      </w:pPr>
      <w:r w:rsidRPr="005B0D19">
        <w:t>(19)</w:t>
      </w:r>
      <w:r w:rsidRPr="005B0D19">
        <w:tab/>
      </w:r>
      <w:r w:rsidRPr="005B0D19">
        <w:rPr>
          <w:noProof/>
        </w:rPr>
        <w:t>Κατά την εκτέλεση του προϋπολογισμού, η Επιτροπή θα πρέπει να εφαρμόζει ένα σύστημα προειδοποίησης και παρακολούθησης των γεωργικών δαπανών σε μηνιαία βάση, ώστε να μπορεί να αντιδρά το ταχύτερο δυνατόν σε περίπτωση κινδύνου υπέρβασης του ετήσιου ανώτατου ορίου, να θεσπίζει τα κατάλληλα μέτρα στο πλαίσιο των διαχειριστικών αρμοδιοτήτων που της έχουν ανατεθεί και, αν τα μέτρα αποδεικνύονται ανεπαρκή, να προτείνει άλλα. Η Επιτροπή θα πρέπει να υποβάλλει στο Ευρωπαϊκό Κοινοβούλιο και στο Συμβούλιο περιοδική έκθεση που θα περιλαμβάνει σύγκριση της εξέλιξης των δαπανών που έγιναν έως την ημερομηνία της έκθεσης με την εκτίμηση των δαπανών και αξιολόγηση της προβλεπόμενης εκτέλεσης για το υπόλοιπο οικονομικό έτος.</w:t>
      </w:r>
    </w:p>
    <w:p w:rsidR="00A57BFD" w:rsidRPr="005B0D19" w:rsidRDefault="005B0D19">
      <w:pPr>
        <w:pStyle w:val="ManualConsidrant"/>
        <w:rPr>
          <w:noProof/>
        </w:rPr>
      </w:pPr>
      <w:r w:rsidRPr="005B0D19">
        <w:t>(20)</w:t>
      </w:r>
      <w:r w:rsidRPr="005B0D19">
        <w:tab/>
      </w:r>
      <w:r w:rsidRPr="005B0D19">
        <w:rPr>
          <w:noProof/>
        </w:rPr>
        <w:t>Σε ό,τι αφορά το ΕΓΤΕ, είναι αναγκαίο να προβλεφθεί ότι οι αναγκαίοι χρηματοδοτικοί πόροι για την κάλυψη των δαπανών των διαπιστευμένων οργανισμών πληρωμών στο πλαίσιο του ΕΓΤΕ θα πρέπει να παρέχονται στα κράτη μέλη από την Επιτροπή ως επιστροφές με βάση τη λογιστική καταχώριση των δαπανών των εν λόγω οργανισμών. Είναι επίσης αναγκαίο να προβλέπεται ότι μέχρι την καταβολή των επιστροφών αυτών, υπό τη μορφή μηνιαίων πληρωμών, τα κράτη μέλη θα πρέπει να συγκεντρώνουν τους αναγκαίους χρηματοδοτικούς πόρους ανάλογα με τις ανάγκες των οικείων διαπιστευμένων οργανισμών πληρωμών. Θα πρέπει να προβλέπεται ρητώς στον παρόντα κανονισμό ότι τα ίδια τα κράτη μέλη και οι δικαιούχοι που μετέχουν στην εφαρμογή της ΚΓΠ θα πρέπει να φέρουν το βάρος των δαπανών προσωπικού και διοικητικής λειτουργίας που τους αφορούν.</w:t>
      </w:r>
    </w:p>
    <w:p w:rsidR="00A57BFD" w:rsidRPr="005B0D19" w:rsidRDefault="005B0D19">
      <w:pPr>
        <w:pStyle w:val="ManualConsidrant"/>
        <w:rPr>
          <w:noProof/>
        </w:rPr>
      </w:pPr>
      <w:r w:rsidRPr="005B0D19">
        <w:t>(21)</w:t>
      </w:r>
      <w:r w:rsidRPr="005B0D19">
        <w:tab/>
      </w:r>
      <w:r w:rsidRPr="005B0D19">
        <w:rPr>
          <w:noProof/>
        </w:rPr>
        <w:t xml:space="preserve">Προκειμένου να παρασχεθούν στην Επιτροπή τα μέσα για τη διαχείριση των γεωργικών αγορών, τη διευκόλυνση της παρακολούθησης των γεωργικών δαπανών και την παρακολούθηση των γεωργικών πόρων σε μεσοπρόθεσμο και μακροπρόθεσμο </w:t>
      </w:r>
      <w:r w:rsidRPr="005B0D19">
        <w:rPr>
          <w:noProof/>
        </w:rPr>
        <w:lastRenderedPageBreak/>
        <w:t>ορίζοντα, θα πρέπει να προβλεφθεί η χρησιμοποίηση του γεωργομετεωρολογικού συστήματος και η απόκτηση και βελτίωση δορυφορικών δεδομένων.</w:t>
      </w:r>
    </w:p>
    <w:p w:rsidR="00A57BFD" w:rsidRPr="005B0D19" w:rsidRDefault="005B0D19">
      <w:pPr>
        <w:pStyle w:val="ManualConsidrant"/>
        <w:rPr>
          <w:noProof/>
        </w:rPr>
      </w:pPr>
      <w:r w:rsidRPr="005B0D19">
        <w:t>(22)</w:t>
      </w:r>
      <w:r w:rsidRPr="005B0D19">
        <w:tab/>
      </w:r>
      <w:r w:rsidRPr="005B0D19">
        <w:rPr>
          <w:noProof/>
        </w:rPr>
        <w:t>Όσον αφορά τη δημοσιονομική διαχείριση του ΕΓΤΑΑ, θα πρέπει να προβλεφθούν διατάξεις σχετικά με τις δημοσιονομικές δεσμεύσεις, τις προθεσμίες πληρωμής, την αποδέσμευση και τις διακοπές. Οι παρεμβάσεις αγροτικής ανάπτυξης χρηματοδοτούνται από τον προϋπολογισμό της Ένωσης με βάση τις δεσμεύσεις που αναλαμβάνονται σε ετήσιες δόσεις. Τα κράτη μέλη θα πρέπει να έχουν στη διάθεσή τους τα προβλεπόμενα ενωσιακά κονδύλια ευθύς μόλις εγκριθούν τα στρατηγικά σχέδια της ΚΓΠ. Συνεπώς, θα πρέπει να καθιερωθεί σύστημα περιορισμένης προχρηματοδότησης για την εξασφάλιση συνεχούς ροής των κονδυλίων, που θα επιτρέπει τη δέουσα εκτέλεση των πληρωμών προς τους δικαιούχους στο πλαίσιο των παρεμβάσεων.</w:t>
      </w:r>
    </w:p>
    <w:p w:rsidR="00A57BFD" w:rsidRPr="005B0D19" w:rsidRDefault="005B0D19">
      <w:pPr>
        <w:pStyle w:val="ManualConsidrant"/>
        <w:rPr>
          <w:noProof/>
        </w:rPr>
      </w:pPr>
      <w:r w:rsidRPr="005B0D19">
        <w:t>(23)</w:t>
      </w:r>
      <w:r w:rsidRPr="005B0D19">
        <w:tab/>
      </w:r>
      <w:r w:rsidRPr="005B0D19">
        <w:rPr>
          <w:noProof/>
        </w:rPr>
        <w:t>Εκτός από την προχρηματοδότηση, είναι επίσης απαραίτητο να γίνεται διάκριση μεταξύ των ενδιάμεσων καταβολών και της καταβολής των υπολοίπων από την Επιτροπή στους διαπιστευμένους οργανισμούς πληρωμών. Είναι επίσης αναγκαίο να θεσπιστούν λεπτομερείς κανόνες για τις εν λόγω πληρωμές. Ο κανόνας της αυτόματης αποδέσμευσης θα συμβάλει στην επιτάχυνση της εφαρμογής των παρεμβάσεων και στη χρηστή δημοσιονομική διαχείριση. Οι κανόνες που διέπουν τα εθνικά πλαίσια των κρατών μελών με περιφερειακές παρεμβάσεις όπως ορίζονται στον κανονισμό (ΕΕ) …/… του Ευρωπαϊκού Κοινοβουλίου και του Συμβουλίου</w:t>
      </w:r>
      <w:r>
        <w:rPr>
          <w:rStyle w:val="af7"/>
          <w:noProof/>
        </w:rPr>
        <w:footnoteReference w:id="15"/>
      </w:r>
      <w:r w:rsidRPr="005B0D19">
        <w:rPr>
          <w:noProof/>
        </w:rPr>
        <w:t>[κανονισμός για το στρατηγικό σχέδιο της ΚΓΠ] παρέχουν επίσης ένα εργαλείο στα κράτη μέλη για τη διασφάλιση της εφαρμογής και της χρηστής δημοσιονομικής διαχείρισης.</w:t>
      </w:r>
    </w:p>
    <w:p w:rsidR="00A57BFD" w:rsidRPr="005B0D19" w:rsidRDefault="005B0D19">
      <w:pPr>
        <w:pStyle w:val="ManualConsidrant"/>
        <w:rPr>
          <w:noProof/>
        </w:rPr>
      </w:pPr>
      <w:r w:rsidRPr="005B0D19">
        <w:t>(24)</w:t>
      </w:r>
      <w:r w:rsidRPr="005B0D19">
        <w:tab/>
      </w:r>
      <w:r w:rsidRPr="005B0D19">
        <w:rPr>
          <w:noProof/>
        </w:rPr>
        <w:t xml:space="preserve">Τα κράτη μέλη θα πρέπει να διασφαλίζουν ότι η ενωσιακή ενίσχυση καταβάλλεται στους δικαιούχους εγκαίρως, ώστε να μπορούν να τη χρησιμοποιούν αποτελεσματικά. Η μη τήρηση από τα κράτη μέλη των προθεσμιών πληρωμής που καθορίζονται στην ενωσιακή νομοθεσία ενδέχεται να προκαλέσει σοβαρά προβλήματα στους δικαιούχους και να υπονομεύσει τον ετήσιο χαρακτήρα του προϋπολογισμού της Ένωσης. Ως εκ τούτου, οι δαπάνες που πραγματοποιούνται χωρίς να τηρούνται οι προθεσμίες πληρωμής θα πρέπει να αποκλείονται από την ενωσιακή χρηματοδότηση. Σύμφωνα με την αρχή της αναλογικότητας, η Επιτροπή θα πρέπει να εξουσιοδοτηθεί να προβλέπει εξαιρέσεις από τον γενικό αυτό κανόνα όσον αφορά τα δύο ταμεία. </w:t>
      </w:r>
    </w:p>
    <w:p w:rsidR="00A57BFD" w:rsidRPr="005B0D19" w:rsidRDefault="005B0D19">
      <w:pPr>
        <w:pStyle w:val="ManualConsidrant"/>
        <w:rPr>
          <w:noProof/>
        </w:rPr>
      </w:pPr>
      <w:r w:rsidRPr="005B0D19">
        <w:t>(25)</w:t>
      </w:r>
      <w:r w:rsidRPr="005B0D19">
        <w:tab/>
      </w:r>
      <w:r w:rsidRPr="005B0D19">
        <w:rPr>
          <w:noProof/>
        </w:rPr>
        <w:t>Σύμφωνα με την αρχιτεκτονική και τα βασικά χαρακτηριστικά του νέου μοντέλου υλοποίησης της ΚΓΠ, η επιλεξιμότητα των πληρωμών που πραγματοποιούν τα κράτη μέλη για χρηματοδότηση από την Ένωση δεν θα πρέπει να εξαρτάται πλέον από τη νομιμότητα και την κανονικότητα των πληρωμών σε μεμονωμένους δικαιούχους. Αντ’</w:t>
      </w:r>
      <w:r>
        <w:rPr>
          <w:noProof/>
        </w:rPr>
        <w:t> </w:t>
      </w:r>
      <w:r w:rsidRPr="005B0D19">
        <w:rPr>
          <w:noProof/>
        </w:rPr>
        <w:t xml:space="preserve">αυτού, όσον αφορά τους τύπους παρεμβάσεων που αναφέρονται στον κανονισμό (ΕΕ) ... / ... [κανονισμός για το στρατηγικό σχέδιο της ΚΓΠ], οι πληρωμές των κρατών μελών θα πρέπει να είναι επιλέξιμες εάν συνοδεύονται από αντίστοιχη εκροή και συμμορφώνονται με τις ισχύουσες βασικές απαιτήσεις της Ένωσης. </w:t>
      </w:r>
    </w:p>
    <w:p w:rsidR="00A57BFD" w:rsidRPr="005B0D19" w:rsidRDefault="005B0D19">
      <w:pPr>
        <w:pStyle w:val="ManualConsidrant"/>
        <w:rPr>
          <w:noProof/>
        </w:rPr>
      </w:pPr>
      <w:r w:rsidRPr="005B0D19">
        <w:t>(26)</w:t>
      </w:r>
      <w:r w:rsidRPr="005B0D19">
        <w:tab/>
      </w:r>
      <w:r w:rsidRPr="005B0D19">
        <w:rPr>
          <w:noProof/>
        </w:rPr>
        <w:t xml:space="preserve">Ο κανονισμός (ΕΕ) αριθ. 1306/2013 προέβλεπε μειώσεις και αναστολές μηνιαίων ή ενδιάμεσων πληρωμών με σκοπό την υποστήριξη του ελέγχου της νομιμότητας και της κανονικότητας. Με το νέο μοντέλο υλοποίησης, τα εν λόγω εργαλεία θα πρέπει να χρησιμοποιούνται για την υποστήριξη της υλοποίησης που βασίζεται στην απόδοση. Θα πρέπει επίσης να αποσαφηνιστεί η διαφορά μεταξύ μειώσεων και αναστολών. </w:t>
      </w:r>
    </w:p>
    <w:p w:rsidR="00A57BFD" w:rsidRPr="005B0D19" w:rsidRDefault="005B0D19">
      <w:pPr>
        <w:pStyle w:val="ManualConsidrant"/>
        <w:rPr>
          <w:noProof/>
        </w:rPr>
      </w:pPr>
      <w:r w:rsidRPr="005B0D19">
        <w:lastRenderedPageBreak/>
        <w:t>(27)</w:t>
      </w:r>
      <w:r w:rsidRPr="005B0D19">
        <w:tab/>
      </w:r>
      <w:r w:rsidRPr="005B0D19">
        <w:rPr>
          <w:noProof/>
        </w:rPr>
        <w:t xml:space="preserve">Η διαδικασία μείωσης των πληρωμών του ΕΓΤΕ για μη συμμόρφωση με τα χρηματοδοτικά ανώτατα όρια που ορίζει το δίκαιο της Ένωσης θα πρέπει να εξορθολογιστεί και να ευθυγραμμιστεί με εκείνη που χρησιμοποιείται για τις πληρωμές του ΕΓΤΑΑ στο πλαίσιο αυτό.  </w:t>
      </w:r>
    </w:p>
    <w:p w:rsidR="00A57BFD" w:rsidRPr="005B0D19" w:rsidRDefault="005B0D19">
      <w:pPr>
        <w:pStyle w:val="ManualConsidrant"/>
        <w:rPr>
          <w:noProof/>
        </w:rPr>
      </w:pPr>
      <w:r w:rsidRPr="005B0D19">
        <w:t>(28)</w:t>
      </w:r>
      <w:r w:rsidRPr="005B0D19">
        <w:tab/>
      </w:r>
      <w:r w:rsidRPr="005B0D19">
        <w:rPr>
          <w:noProof/>
        </w:rPr>
        <w:t>Τα κράτη μέλη θα πρέπει να διαβιβάσουν στην Επιτροπή, έως τις 15</w:t>
      </w:r>
      <w:r>
        <w:rPr>
          <w:noProof/>
        </w:rPr>
        <w:t> </w:t>
      </w:r>
      <w:r w:rsidRPr="005B0D19">
        <w:rPr>
          <w:noProof/>
        </w:rPr>
        <w:t xml:space="preserve">Φεβρουαρίου </w:t>
      </w:r>
      <w:r>
        <w:rPr>
          <w:noProof/>
        </w:rPr>
        <w:t>N</w:t>
      </w:r>
      <w:r w:rsidRPr="005B0D19">
        <w:rPr>
          <w:noProof/>
        </w:rPr>
        <w:t xml:space="preserve">+1, τους ετήσιους λογαριασμούς και την ετήσια έκθεση απόδοσης σχετικά με την εφαρμογή του στρατηγικού σχεδίου της ΚΓΠ. Σε περίπτωση που τα εν λόγω έγγραφα δεν αποσταλούν, με αποτέλεσμα η Επιτροπή να μην είναι σε θέση να εκκαθαρίσει τους λογαριασμούς του σχετικού οργανισμού πληρωμών ή να ελέγξει την επιλεξιμότητα των δαπανών έναντι των αναφερόμενων υλοποιήσεων, η Επιτροπή θα πρέπει να εξουσιοδοτείται να αναστείλει τις μηνιαίες πληρωμές και να διακόψει την τριμηνιαία επιστροφή έως ότου ληφθούν τα έγγραφα που βρίσκονται σε εκκρεμότητα. </w:t>
      </w:r>
    </w:p>
    <w:p w:rsidR="00A57BFD" w:rsidRPr="005B0D19" w:rsidRDefault="005B0D19">
      <w:pPr>
        <w:pStyle w:val="ManualConsidrant"/>
        <w:rPr>
          <w:noProof/>
        </w:rPr>
      </w:pPr>
      <w:r w:rsidRPr="005B0D19">
        <w:t>(29)</w:t>
      </w:r>
      <w:r w:rsidRPr="005B0D19">
        <w:tab/>
      </w:r>
      <w:r w:rsidRPr="005B0D19">
        <w:rPr>
          <w:noProof/>
        </w:rPr>
        <w:t xml:space="preserve">Θα πρέπει να θεσπιστεί νέα μορφή αναστολής πληρωμών για τις καταστάσεις με ασυνήθιστα χαμηλές εκροές. Όταν οι αναφερόμενες εκροές κυμαίνονται σε ασυνήθιστα χαμηλό επίπεδο σε σύγκριση με τις δηλωθείσες δαπάνες και όταν τα κράτη μέλη δεν μπορούν να παράσχουν εύλογους και κατανοητούς λόγους για την κατάσταση αυτή, η Επιτροπή θα πρέπει να εξουσιοδοτείται, εκτός από το να μειώσει τις δαπάνες για το οικονομικό έτος </w:t>
      </w:r>
      <w:r>
        <w:rPr>
          <w:noProof/>
        </w:rPr>
        <w:t>N</w:t>
      </w:r>
      <w:r w:rsidRPr="005B0D19">
        <w:rPr>
          <w:noProof/>
        </w:rPr>
        <w:t xml:space="preserve">-1, να αναστείλει τις μελλοντικές δαπάνες που σχετίζονται με την παρέμβαση για την οποία οι εκροές ήταν ασυνήθιστα χαμηλές. Οι εν λόγω αναστολές θα πρέπει να υπόκεινται σε επιβεβαίωση στην ετήσια απόφαση εκκαθάρισης απόδοσης. </w:t>
      </w:r>
    </w:p>
    <w:p w:rsidR="00A57BFD" w:rsidRPr="005B0D19" w:rsidRDefault="005B0D19">
      <w:pPr>
        <w:pStyle w:val="ManualConsidrant"/>
        <w:rPr>
          <w:noProof/>
        </w:rPr>
      </w:pPr>
      <w:r w:rsidRPr="005B0D19">
        <w:t>(30)</w:t>
      </w:r>
      <w:r w:rsidRPr="005B0D19">
        <w:tab/>
      </w:r>
      <w:r w:rsidRPr="005B0D19">
        <w:rPr>
          <w:noProof/>
        </w:rPr>
        <w:t xml:space="preserve">Όσον αφορά την πολυετή παρακολούθηση επιδόσεων, η Επιτροπή θα πρέπει επίσης να έχει την εξουσία να αναστείλει τις πληρωμές. Ως εκ τούτου, σε περίπτωση καθυστερημένης ή ανεπαρκούς προόδου ως προς την επίτευξη των στόχων, όπως ορίζεται στο εθνικό στρατηγικό σχέδιο της ΚΓΠ, η Επιτροπή θα πρέπει να εξουσιοδοτηθεί να ζητήσει από το ενδιαφερόμενο κράτος μέλος να λάβει τα απαραίτητα διορθωτικά μέτρα σύμφωνα με σχέδιο δράσης που θα θεσπιστεί σε διαβούλευση με την Επιτροπή και θα περιέχει σαφείς δείκτες προόδου. Εάν το κράτος μέλος δεν υποβάλει ή εφαρμόσει το σχέδιο δράσης ή το σχέδιο δράσης είναι προδήλως ανεπαρκές για την αντιμετώπιση της κατάστασης, η Επιτροπή θα πρέπει να έχει την εξουσία να αναστείλει τις μηνιαίες ή ενδιάμεσες πληρωμές μέσω εκτελεστικής πράξης. </w:t>
      </w:r>
    </w:p>
    <w:p w:rsidR="00A57BFD" w:rsidRPr="005B0D19" w:rsidRDefault="005B0D19">
      <w:pPr>
        <w:pStyle w:val="ManualConsidrant"/>
        <w:rPr>
          <w:noProof/>
        </w:rPr>
      </w:pPr>
      <w:r w:rsidRPr="005B0D19">
        <w:t>(31)</w:t>
      </w:r>
      <w:r w:rsidRPr="005B0D19">
        <w:tab/>
      </w:r>
      <w:r w:rsidRPr="005B0D19">
        <w:rPr>
          <w:noProof/>
        </w:rPr>
        <w:t xml:space="preserve">Όπως και στην περίπτωση του κανονισμού (ΕΕ) αριθ. 1306/2013, η Επιτροπή θα πρέπει να εξουσιοδοτείται να αναστείλει τις πληρωμές όταν υπάρχουν σοβαρές ελλείψεις στα συστήματα διακυβέρνησης, συμπεριλαμβανομένης της μη συμμόρφωσης με τις βασικές απαιτήσεις της Ένωσης και της αναξιοπιστίας των υποβαλλόμενων εκθέσεων. Ωστόσο, είναι απαραίτητο να επανεξεταστούν οι όροι αναστολής των πληρωμών προκειμένου να καταστεί αποτελεσματικότερος ο μηχανισμός. Οι οικονομικές συνέπειες των εν λόγω αναστολών θα πρέπει να αποφασίζονται με </w:t>
      </w:r>
      <w:r>
        <w:rPr>
          <w:noProof/>
        </w:rPr>
        <w:t>ad</w:t>
      </w:r>
      <w:r w:rsidRPr="005B0D19">
        <w:rPr>
          <w:noProof/>
        </w:rPr>
        <w:t xml:space="preserve"> </w:t>
      </w:r>
      <w:r>
        <w:rPr>
          <w:noProof/>
        </w:rPr>
        <w:t>hoc</w:t>
      </w:r>
      <w:r w:rsidRPr="005B0D19">
        <w:rPr>
          <w:noProof/>
        </w:rPr>
        <w:t xml:space="preserve"> διαδικασία συμμόρφωσης.</w:t>
      </w:r>
    </w:p>
    <w:p w:rsidR="00A57BFD" w:rsidRPr="005B0D19" w:rsidRDefault="005B0D19">
      <w:pPr>
        <w:pStyle w:val="ManualConsidrant"/>
        <w:rPr>
          <w:noProof/>
        </w:rPr>
      </w:pPr>
      <w:r w:rsidRPr="005B0D19">
        <w:t>(32)</w:t>
      </w:r>
      <w:r w:rsidRPr="005B0D19">
        <w:tab/>
      </w:r>
      <w:r w:rsidRPr="005B0D19">
        <w:rPr>
          <w:noProof/>
        </w:rPr>
        <w:t>Οι αρμόδιες εθνικές αρχές θα πρέπει να καταβάλλουν στο ακέραιο στους σχετικούς δικαιούχους τα ποσά των ενισχύσεων της ΚΓΠ που προβλέπονται από το δίκαιο της Ένωσης.</w:t>
      </w:r>
    </w:p>
    <w:p w:rsidR="00A57BFD" w:rsidRPr="005B0D19" w:rsidRDefault="005B0D19">
      <w:pPr>
        <w:pStyle w:val="ManualConsidrant"/>
        <w:rPr>
          <w:noProof/>
        </w:rPr>
      </w:pPr>
      <w:r w:rsidRPr="005B0D19">
        <w:t>(33)</w:t>
      </w:r>
      <w:r w:rsidRPr="005B0D19">
        <w:tab/>
      </w:r>
      <w:r w:rsidRPr="005B0D19">
        <w:rPr>
          <w:noProof/>
        </w:rPr>
        <w:t>Για να επιτραπεί η επαναχρησιμοποίηση ορισμένων τύπων εσόδων που συνδέονται με την ΚΓΠ για τους σκοπούς της ΚΓΠ, θα πρέπει να χαρακτηριστούν ως έσοδα για ειδικό προορισμό.. Ο κατάλογος των ποσών που περιέχονται στο άρθρο 43 του κανονισμού (ΕΕ) αριθ.</w:t>
      </w:r>
      <w:r>
        <w:rPr>
          <w:noProof/>
        </w:rPr>
        <w:t> </w:t>
      </w:r>
      <w:r w:rsidRPr="005B0D19">
        <w:rPr>
          <w:noProof/>
        </w:rPr>
        <w:t xml:space="preserve">1306/2013 θα πρέπει να τροποποιηθεί και οι εν λόγω διατάξεις </w:t>
      </w:r>
      <w:r w:rsidRPr="005B0D19">
        <w:rPr>
          <w:noProof/>
        </w:rPr>
        <w:lastRenderedPageBreak/>
        <w:t xml:space="preserve">να εναρμονιστούν και να συγχωνευθούν με τις ισχύουσες διατάξεις για τα έσοδα για ειδικό προορισμό. </w:t>
      </w:r>
    </w:p>
    <w:p w:rsidR="00A57BFD" w:rsidRPr="005B0D19" w:rsidRDefault="005B0D19">
      <w:pPr>
        <w:pStyle w:val="ManualConsidrant"/>
        <w:rPr>
          <w:noProof/>
        </w:rPr>
      </w:pPr>
      <w:r w:rsidRPr="005B0D19">
        <w:t>(34)</w:t>
      </w:r>
      <w:r w:rsidRPr="005B0D19">
        <w:tab/>
      </w:r>
      <w:r w:rsidRPr="005B0D19">
        <w:rPr>
          <w:rStyle w:val="af7"/>
          <w:noProof/>
        </w:rPr>
        <w:t xml:space="preserve"> </w:t>
      </w:r>
      <w:r w:rsidRPr="005B0D19">
        <w:rPr>
          <w:noProof/>
        </w:rPr>
        <w:t>Ο κανονισμός (ΕΚ) αριθ. 1306/2013 περιλαμβάνει κατάλογο των μέτρων ενημέρωσης σχετικά με την ΚΓΠ και των στόχων τους και καθορίζει τους κανόνες για τη χρηματοδότησή τους και την εφαρμογή των αντίστοιχων έργων. Οι ειδικές διατάξεις σχετικά με τους στόχους και τα είδη των προς χρηματοδότηση μέτρων ενημέρωσης θα πρέπει να μεταφερθούν στον παρόντα κανονισμό.</w:t>
      </w:r>
    </w:p>
    <w:p w:rsidR="00A57BFD" w:rsidRPr="005B0D19" w:rsidRDefault="005B0D19">
      <w:pPr>
        <w:pStyle w:val="ManualConsidrant"/>
        <w:rPr>
          <w:noProof/>
        </w:rPr>
      </w:pPr>
      <w:r w:rsidRPr="005B0D19">
        <w:t>(35)</w:t>
      </w:r>
      <w:r w:rsidRPr="005B0D19">
        <w:tab/>
      </w:r>
      <w:r w:rsidRPr="005B0D19">
        <w:rPr>
          <w:noProof/>
        </w:rPr>
        <w:t>Η χρηματοδότηση μέτρων και παρεμβάσεων στο πλαίσιο της ΚΓΠ εξαρτάται σε μεγάλο βαθμό από την αρχή της επιμερισμένης διαχείρισης. Προκειμένου να διασφαλιστεί η ορθή διαχείριση των κονδυλίων της Ένωσης, η Επιτροπή θα πρέπει να εξουσιοδοτηθεί να διενεργεί ελέγχους σχετικά με τον τρόπο με τον οποίο οι αρχές των κρατών μελών που είναι υπεύθυνες για την εκτέλεση των πληρωμών διαχειρίζονται τα ταμεία. Είναι σκόπιμο να καθοριστεί η φύση των ελέγχων που θα διενεργούνται από την Επιτροπή, να προσδιοριστούν οι όροι των αρμοδιοτήτων της για την εκτέλεση του προϋπολογισμού της Ένωσης και να αποσαφηνιστούν οι υποχρεώσεις συνεργασίας των κρατών μελών.</w:t>
      </w:r>
    </w:p>
    <w:p w:rsidR="00A57BFD" w:rsidRPr="005B0D19" w:rsidRDefault="005B0D19">
      <w:pPr>
        <w:pStyle w:val="ManualConsidrant"/>
        <w:rPr>
          <w:noProof/>
        </w:rPr>
      </w:pPr>
      <w:bookmarkStart w:id="1" w:name="ae33"/>
      <w:r w:rsidRPr="005B0D19">
        <w:t>(36)</w:t>
      </w:r>
      <w:r w:rsidRPr="005B0D19">
        <w:tab/>
      </w:r>
      <w:r w:rsidRPr="005B0D19">
        <w:rPr>
          <w:noProof/>
        </w:rPr>
        <w:t>Για να μπορέσει η Επιτροπή να εκπληρώσει την υποχρέωσή της σχετικά με την εξακρίβωση της ύπαρξης και της εύρυθμης λειτουργίας των συστημάτων διαχείρισης και ελέγχου των ενωσιακών δαπανών στα κράτη μέλη, ανεξαρτήτως των ελέγχων που διενεργούνται από τα ίδια τα κράτη μέλη, θα πρέπει να προβλεφθούν έλεγχοι οι οποίοι θα πρέπει να διενεργούνται από πρόσωπα εξουσιοδοτημένα από την Επιτροπή τα οποία θα μπορούν να ζητούν τη συνδρομή των κρατών μελών για τις εργασίες τους.</w:t>
      </w:r>
      <w:bookmarkEnd w:id="1"/>
    </w:p>
    <w:p w:rsidR="00A57BFD" w:rsidRPr="005B0D19" w:rsidRDefault="005B0D19">
      <w:pPr>
        <w:pStyle w:val="ManualConsidrant"/>
        <w:rPr>
          <w:noProof/>
        </w:rPr>
      </w:pPr>
      <w:bookmarkStart w:id="2" w:name="ae34"/>
      <w:r w:rsidRPr="005B0D19">
        <w:t>(37)</w:t>
      </w:r>
      <w:r w:rsidRPr="005B0D19">
        <w:tab/>
      </w:r>
      <w:r w:rsidRPr="005B0D19">
        <w:rPr>
          <w:noProof/>
        </w:rPr>
        <w:t>Είναι απαραίτητο να χρησιμοποιείται όσο το δυνατόν εκτενέστερα η τεχνολογία πληροφοριών για τη συγκέντρωση των στοιχείων που πρέπει να διαβιβάζονται στην Επιτροπή. Κατά τους ελέγχους, είναι σημαντικό να έχει η Επιτροπή πλήρη και άμεση πρόσβαση στα στοιχεία για τις δαπάνες τόσο σε έντυπη όσο και σε ηλεκτρονική μορφή.</w:t>
      </w:r>
      <w:bookmarkEnd w:id="2"/>
      <w:r w:rsidRPr="005B0D19">
        <w:rPr>
          <w:noProof/>
        </w:rPr>
        <w:t xml:space="preserve"> </w:t>
      </w:r>
    </w:p>
    <w:p w:rsidR="00A57BFD" w:rsidRPr="005B0D19" w:rsidRDefault="005B0D19">
      <w:pPr>
        <w:pStyle w:val="ManualConsidrant"/>
        <w:rPr>
          <w:noProof/>
        </w:rPr>
      </w:pPr>
      <w:r w:rsidRPr="005B0D19">
        <w:t>(38)</w:t>
      </w:r>
      <w:r w:rsidRPr="005B0D19">
        <w:tab/>
      </w:r>
      <w:r w:rsidRPr="005B0D19">
        <w:rPr>
          <w:noProof/>
        </w:rPr>
        <w:t>Προκειμένου να εφαρμοστούν οι απαιτήσεις του [νέου] δημοσιονομικού κανονισμού σε σχέση με τη διασταύρωση των ελέγχων και να μειωθεί ο κίνδυνος αλληλεπικάλυψης μεταξύ των ελέγχων από διάφορους φορείς, είναι απαραίτητο να καθοριστούν κανόνες σχετικά με την προσέγγιση του ενιαίου ελέγχου και να θεσπιστεί η δυνατότητα η Επιτροπή να λαμβάνει διαβεβαίωση από το έργο αξιόπιστων οργανισμών πιστοποίησης.</w:t>
      </w:r>
    </w:p>
    <w:p w:rsidR="00A57BFD" w:rsidRPr="005B0D19" w:rsidRDefault="005B0D19">
      <w:pPr>
        <w:pStyle w:val="ManualConsidrant"/>
        <w:rPr>
          <w:noProof/>
        </w:rPr>
      </w:pPr>
      <w:bookmarkStart w:id="3" w:name="ae35"/>
      <w:r w:rsidRPr="005B0D19">
        <w:t>(39)</w:t>
      </w:r>
      <w:r w:rsidRPr="005B0D19">
        <w:tab/>
      </w:r>
      <w:r w:rsidRPr="005B0D19">
        <w:rPr>
          <w:noProof/>
        </w:rPr>
        <w:t>Για την εξακρίβωση της δημοσιονομικής σχέσης μεταξύ των διαπιστευμένων οργανισμών πληρωμών και του προϋπολογισμού της Ένωσης, η Επιτροπή πρέπει να εκκαθαρίζει ετησίως τους λογαριασμούς των οργανισμών αυτών, στο πλαίσιο της ετήσιας δημοσιονομικής εκκαθάρισης. Η απόφαση που αφορά την εκκαθάριση λογαριασμών θα πρέπει να περιορίζεται στην πληρότητα, την ακρίβεια και την ειλικρίνεια των λογαριασμών, και δεν θα πρέπει να καλύπτει τη συμμόρφωση των δαπανών με την ενωσιακή νομοθεσία.</w:t>
      </w:r>
      <w:bookmarkEnd w:id="3"/>
    </w:p>
    <w:p w:rsidR="00A57BFD" w:rsidRPr="005B0D19" w:rsidRDefault="005B0D19">
      <w:pPr>
        <w:pStyle w:val="ManualConsidrant"/>
        <w:rPr>
          <w:noProof/>
        </w:rPr>
      </w:pPr>
      <w:r w:rsidRPr="005B0D19">
        <w:t>(40)</w:t>
      </w:r>
      <w:r w:rsidRPr="005B0D19">
        <w:tab/>
      </w:r>
      <w:r w:rsidRPr="005B0D19">
        <w:rPr>
          <w:noProof/>
        </w:rPr>
        <w:t>Σύμφωνα με το νέο μοντέλο υλοποίησης, θα πρέπει να καθορίζεται ετήσια εκκαθάριση απόδοσης προκειμένου να ελέγχεται η επιλεξιμότητα των δαπανών σε σχέση με τις αναφερόμενες εκροές. Προκειμένου να αντιμετωπιστούν καταστάσεις στις οποίες οι δηλωθείσες δαπάνες δεν έχουν αντίστοιχες αναφερόμενες εκροές και τα κράτη μέλη δεν μπορούν να αιτιολογήσουν την απόκλιση αυτή, θα πρέπει να τεθεί σε εφαρμογή μηχανισμός μείωσης των πληρωμών.</w:t>
      </w:r>
    </w:p>
    <w:p w:rsidR="00A57BFD" w:rsidRPr="005B0D19" w:rsidRDefault="005B0D19">
      <w:pPr>
        <w:pStyle w:val="ManualConsidrant"/>
        <w:rPr>
          <w:noProof/>
        </w:rPr>
      </w:pPr>
      <w:bookmarkStart w:id="4" w:name="ae36"/>
      <w:r w:rsidRPr="005B0D19">
        <w:lastRenderedPageBreak/>
        <w:t>(41)</w:t>
      </w:r>
      <w:r w:rsidRPr="005B0D19">
        <w:tab/>
      </w:r>
      <w:r w:rsidRPr="005B0D19">
        <w:rPr>
          <w:noProof/>
        </w:rPr>
        <w:t>Η Επιτροπή είναι υπεύθυνη για την εκτέλεση του προϋπολογισμού της Ένωσης σε συνεργασία με τα κράτη μέλη, σύμφωνα με το άρθρο</w:t>
      </w:r>
      <w:r>
        <w:rPr>
          <w:noProof/>
        </w:rPr>
        <w:t> </w:t>
      </w:r>
      <w:r w:rsidRPr="005B0D19">
        <w:rPr>
          <w:noProof/>
        </w:rPr>
        <w:t xml:space="preserve">317 της Συνθήκης. Η Επιτροπή θα πρέπει επομένως να εξουσιοδοτείται να αποφασίζει, με εκτελεστικές πράξεις, αν οι δαπάνες των κρατών μελών είναι σύμφωνες με την ενωσιακή νομοθεσία. Θα πρέπει να χορηγηθεί στα κράτη μέλη το δικαίωμα να αιτιολογούν τις αποφάσεις πληρωμών τους και να προσφεύγουν σε συμβιβασμό σε περίπτωση διαφωνίας τους με την Επιτροπή. Για να δοθούν στα κράτη μέλη νομικές και οικονομικές διασφαλίσεις όσον αφορά τις δαπάνες του παρελθόντος, πρέπει να καθοριστεί προθεσμία παραγραφής στη διάρκεια της οποίας η Επιτροπή θα μπορεί να αποφασίζει τις δημοσιονομικές συνέπειες της μη συμμόρφωσης. </w:t>
      </w:r>
    </w:p>
    <w:bookmarkEnd w:id="4"/>
    <w:p w:rsidR="00A57BFD" w:rsidRPr="005B0D19" w:rsidRDefault="005B0D19">
      <w:pPr>
        <w:pStyle w:val="ManualConsidrant"/>
        <w:rPr>
          <w:noProof/>
        </w:rPr>
      </w:pPr>
      <w:r w:rsidRPr="005B0D19">
        <w:t>(42)</w:t>
      </w:r>
      <w:r w:rsidRPr="005B0D19">
        <w:tab/>
      </w:r>
      <w:r w:rsidRPr="005B0D19">
        <w:rPr>
          <w:noProof/>
        </w:rPr>
        <w:t>Για τη διασφάλιση των οικονομικών συμφερόντων του προϋπολογισμού της ΕΕ, τα κράτη μέλη θα πρέπει να θεσπίσουν συστήματα προκειμένου να βεβαιώνονται για την πραγματική και ορθή εκτέλεση των παρεμβάσεων που χρηματοδοτούνται από τα ταμεία, διατηρώντας συγχρόνως το υφιστάμενο ισχυρό πλαίσιο για χρηστή δημοσιονομική διαχείριση. Σύμφωνα με τον δημοσιονομικό κανονισμό, τον κανονισμό (ΕΕ, Ευρατόμ) αριθ. 883/2013 του Ευρωπαϊκού Κοινοβουλίου και του Συμβουλίου</w:t>
      </w:r>
      <w:r>
        <w:rPr>
          <w:rStyle w:val="af7"/>
          <w:noProof/>
          <w:sz w:val="23"/>
        </w:rPr>
        <w:footnoteReference w:id="16"/>
      </w:r>
      <w:r w:rsidRPr="005B0D19">
        <w:rPr>
          <w:noProof/>
        </w:rPr>
        <w:t>, τον κανονισμό (Ευρατόμ, ΕΚ) αριθ.</w:t>
      </w:r>
      <w:r>
        <w:rPr>
          <w:noProof/>
        </w:rPr>
        <w:t> </w:t>
      </w:r>
      <w:r w:rsidRPr="005B0D19">
        <w:rPr>
          <w:noProof/>
        </w:rPr>
        <w:t>2988/95 του Συμβουλίου</w:t>
      </w:r>
      <w:r>
        <w:rPr>
          <w:rStyle w:val="af7"/>
          <w:noProof/>
          <w:sz w:val="23"/>
        </w:rPr>
        <w:footnoteReference w:id="17"/>
      </w:r>
      <w:r w:rsidRPr="005B0D19">
        <w:rPr>
          <w:noProof/>
        </w:rPr>
        <w:t>, τον κανονισμό (Ευρατόμ, ΕΚ) αριθ. 2185/96 του Συμβουλίου</w:t>
      </w:r>
      <w:r>
        <w:rPr>
          <w:rStyle w:val="af7"/>
          <w:noProof/>
          <w:sz w:val="23"/>
        </w:rPr>
        <w:footnoteReference w:id="18"/>
      </w:r>
      <w:r w:rsidRPr="005B0D19">
        <w:rPr>
          <w:noProof/>
        </w:rPr>
        <w:t xml:space="preserve"> και τον κανονισμό (ΕΕ) 2017/1939 του Συμβουλίου</w:t>
      </w:r>
      <w:r>
        <w:rPr>
          <w:rStyle w:val="af7"/>
          <w:noProof/>
          <w:sz w:val="23"/>
        </w:rPr>
        <w:footnoteReference w:id="19"/>
      </w:r>
      <w:r w:rsidRPr="005B0D19">
        <w:rPr>
          <w:noProof/>
        </w:rPr>
        <w:t>, τα οικονομικά συμφέροντα της Ένωσης προστατεύονται μέσω αναλογικών μέτρων, συμπεριλαμβανομένης της πρόληψης, της ανίχνευσης, της διόρθωσης και της διερεύνησης παρατυπιών, συμπεριλαμβανομένης της απάτης, της ανάκτησης των απολεσθέντων, των αχρεωστήτως καταβληθέντων ή των κακώς χρησιμοποιηθέντων κονδυλίων και, εφόσον απαιτείται, με την επιβολή διοικητικών κυρώσεων. Επιπλέον, σύμφωνα με τον κανονισμό (ΕΕ, Ευρατόμ) αριθ. 883/2013 και τον κανονισμό (Ευρατόμ, ΕΚ) αριθ. 2185/96, η Ευρωπαϊκή Υπηρεσία καταπολέμησης της απάτης (</w:t>
      </w:r>
      <w:r>
        <w:rPr>
          <w:noProof/>
        </w:rPr>
        <w:t>OLAF</w:t>
      </w:r>
      <w:r w:rsidRPr="005B0D19">
        <w:rPr>
          <w:noProof/>
        </w:rPr>
        <w:t>) δύναται να διενεργεί διοικητικές έρευνες, συμπεριλαμβανομένων επιτόπιων ελέγχων και επιθεωρήσεων, με σκοπό να διαπιστωθεί εάν υπήρξε απάτη, διαφθορά ή κάθε άλλη παράνομη δραστηριότητα εις βάρος των οικονομικών συμφερόντων της Ένωσης. Σύμφωνα με τον κανονισμό (ΕΕ) 2017/1939, η Ευρωπαϊκή Εισαγγελία δύναται να διενεργεί έρευνες και να διώκει την απάτη και άλλα ποινικά αδικήματα που θίγουν τα οικονομικά συμφέροντα της Ένωσης, όπως προβλέπεται στην οδηγία (ΕΕ) 2017/1371 του Ευρωπαϊκού Κοινοβουλίου και του Συμβουλίου</w:t>
      </w:r>
      <w:r>
        <w:rPr>
          <w:rStyle w:val="af7"/>
          <w:noProof/>
          <w:sz w:val="23"/>
        </w:rPr>
        <w:footnoteReference w:id="20"/>
      </w:r>
      <w:r w:rsidRPr="005B0D19">
        <w:rPr>
          <w:noProof/>
        </w:rPr>
        <w:t xml:space="preserve">. Σύμφωνα με τον δημοσιονομικό κανονισμό, κάθε πρόσωπο ή οντότητα που λαμβάνει κονδύλια της Ένωσης πρέπει να </w:t>
      </w:r>
      <w:r w:rsidRPr="005B0D19">
        <w:rPr>
          <w:noProof/>
        </w:rPr>
        <w:lastRenderedPageBreak/>
        <w:t xml:space="preserve">συνεργάζεται πλήρως για την προστασία των οικονομικών συμφερόντων της Ένωσης, να εκχωρεί τα απαραίτητα δικαιώματα και να δίνει πρόσβαση στην Επιτροπή, την </w:t>
      </w:r>
      <w:r>
        <w:rPr>
          <w:noProof/>
        </w:rPr>
        <w:t>OLAF</w:t>
      </w:r>
      <w:r w:rsidRPr="005B0D19">
        <w:rPr>
          <w:noProof/>
        </w:rPr>
        <w:t xml:space="preserve">, την Ευρωπαϊκή Εισαγγελία και το Ευρωπαϊκό Ελεγκτικό Συνέδριο (ΕΕΣ), και να εξασφαλίζει ότι τυχόν τρίτα μέρη που συμμετέχουν στη χρησιμοποίηση των κονδυλίων της Ένωσης χορηγούν ισοδύναμα δικαιώματα. Τα κράτη μέλη θα πρέπει να διαθέτουν τα συστήματα που θα τους επιτρέπουν να κοινοποιούν στην Επιτροπή, προκειμένου να μπορεί η </w:t>
      </w:r>
      <w:r>
        <w:rPr>
          <w:noProof/>
        </w:rPr>
        <w:t>OLAF</w:t>
      </w:r>
      <w:r w:rsidRPr="005B0D19">
        <w:rPr>
          <w:noProof/>
        </w:rPr>
        <w:t xml:space="preserve"> να ασκεί τις εξουσίες της και να εξασφαλίζει την αποτελεσματική ανάλυση των υποθέσεων παρατυπιών, τις παρατυπίες που διαπιστώνουν και άλλες υποθέσεις μη συμμόρφωσης με τις προϋποθέσεις που καθορίζονται από τα κράτη μέλη στο πλαίσιο του στρατηγικού σχεδίου της ΚΓΠ, συμπεριλαμβανομένης της απάτης, και για την συνέχεια που δίνουν, καθώς και σχετικά με τη συνέχεια που δίνεται στις έρευνες της </w:t>
      </w:r>
      <w:r>
        <w:rPr>
          <w:noProof/>
        </w:rPr>
        <w:t>OLAF</w:t>
      </w:r>
      <w:r w:rsidRPr="005B0D19">
        <w:rPr>
          <w:noProof/>
        </w:rPr>
        <w:t>. Για να εξασφαλιστεί η αποτελεσματική εξέταση των καταγγελιών σχετικά με τα ταμεία, τα κράτη μέλη θα πρέπει να έχουν θεσπίσει τις αναγκαίες ρυθμίσεις.</w:t>
      </w:r>
    </w:p>
    <w:p w:rsidR="00A57BFD" w:rsidRPr="005B0D19" w:rsidRDefault="005B0D19">
      <w:pPr>
        <w:pStyle w:val="ManualConsidrant"/>
        <w:rPr>
          <w:noProof/>
        </w:rPr>
      </w:pPr>
      <w:r w:rsidRPr="005B0D19">
        <w:t>(43)</w:t>
      </w:r>
      <w:r w:rsidRPr="005B0D19">
        <w:tab/>
      </w:r>
      <w:r w:rsidRPr="005B0D19">
        <w:rPr>
          <w:noProof/>
        </w:rPr>
        <w:t xml:space="preserve"> Οι οριζόντιοι δημοσιονομικοί κανόνες που θεσπίζονται από το Ευρωπαϊκό Κοινοβούλιο και το Συμβούλιο βάσει του άρθρου 322 ή της Συνθήκης για τη λειτουργία της Ευρωπαϊκής Ένωσης εφαρμόζονται στον παρόντα κανονισμό. Οι κανόνες αυτοί ορίζονται στον δημοσιονομικό κανονισμό και καθορίζουν ειδικότερα τη διαδικασία για την κατάρτιση και την εκτέλεση του προϋπολογισμού μέσω επιχορηγήσεων, προμηθειών, βραβείων, έμμεσης εφαρμογής. Προβλέπουν επίσης ελέγχους της ευθύνης των δημοσιονομικών φορέων. Οι κανόνες που θεσπίζονται βάσει του άρθρου 322 της ΣΛΕΕ αφορούν επίσης την προστασία του προϋπολογισμού της Ένωσης σε περίπτωση γενικευμένων ελλείψεων όσον αφορά το κράτος δικαίου στα κράτη μέλη, δεδομένου ότι ο σεβασμός του κράτους δικαίου αποτελεί βασική προϋπόθεση για τη χρηστή δημοσιονομική διαχείριση και την αποτελεσματική χρηματοδότηση της Ένωσης.</w:t>
      </w:r>
    </w:p>
    <w:p w:rsidR="00A57BFD" w:rsidRPr="005B0D19" w:rsidRDefault="005B0D19">
      <w:pPr>
        <w:pStyle w:val="ManualConsidrant"/>
        <w:rPr>
          <w:rFonts w:eastAsia="Times New Roman"/>
          <w:noProof/>
          <w:szCs w:val="20"/>
        </w:rPr>
      </w:pPr>
      <w:r w:rsidRPr="005B0D19">
        <w:t>(44)</w:t>
      </w:r>
      <w:r w:rsidRPr="005B0D19">
        <w:tab/>
      </w:r>
      <w:r w:rsidRPr="005B0D19">
        <w:rPr>
          <w:noProof/>
        </w:rPr>
        <w:t>Είναι σκόπιμο να διασφαλιστεί ότι η άρνηση ή η ανάκτηση πληρωμών ως αποτέλεσμα μη</w:t>
      </w:r>
      <w:r>
        <w:rPr>
          <w:noProof/>
        </w:rPr>
        <w:t> </w:t>
      </w:r>
      <w:r w:rsidRPr="005B0D19">
        <w:rPr>
          <w:noProof/>
        </w:rPr>
        <w:t>συμμόρφωσης με τους κανόνες περί δημόσιων προμηθειών αντικατοπτρίζει τη σοβαρότητα της μη συμμόρφωσης και σέβεται την αρχή της αναλογικότητας, όπως</w:t>
      </w:r>
      <w:r>
        <w:rPr>
          <w:noProof/>
        </w:rPr>
        <w:t> </w:t>
      </w:r>
      <w:r w:rsidRPr="005B0D19">
        <w:rPr>
          <w:noProof/>
        </w:rPr>
        <w:t>αναφέρεται, για παράδειγμα, στις σχετικές κατευθυντήριες γραμμές που έχει καταρτίσει η Επιτροπή για τις δημοσιονομικές διορθώσεις οι οποίες εφαρμόζονται στις δαπάνες που χρηματοδοτούνται από την Ένωση υπό καθεστώς επιμερισμένης διαχείρισης λόγω μη συμμόρφωσης με τους εν λόγω κανόνες. Είναι επίσης σκόπιμο να διευκρινιστεί ότι αυτές οι περιπτώσεις μη συμμόρφωσης θίγουν τη νομιμότητα και την κανονικότητα των συναλλαγών μόνο μέχρι το επίπεδο του μέρους εκείνου της ενίσχυσης που δεν καταβάλλεται ή ανακαλείται.</w:t>
      </w:r>
    </w:p>
    <w:p w:rsidR="00A57BFD" w:rsidRPr="005B0D19" w:rsidRDefault="005B0D19">
      <w:pPr>
        <w:pStyle w:val="ManualConsidrant"/>
        <w:rPr>
          <w:noProof/>
        </w:rPr>
      </w:pPr>
      <w:bookmarkStart w:id="5" w:name="ae42"/>
      <w:r w:rsidRPr="005B0D19">
        <w:t>(45)</w:t>
      </w:r>
      <w:r w:rsidRPr="005B0D19">
        <w:tab/>
      </w:r>
      <w:r w:rsidRPr="005B0D19">
        <w:rPr>
          <w:noProof/>
        </w:rPr>
        <w:t>Διάφορες διατάξεις της τομεακής γεωργικής νομοθεσίας απαιτούν τη σύσταση εγγύησης για την εξασφάλιση της πληρωμής ενός οφειλόμενου ποσού σε περίπτωση μη εκπλήρωσης υποχρέωσης. Προκειμένου να ενισχυθεί το πλαίσιο για τις εγγυήσεις, θα πρέπει να εφαρμοστεί ενιαίος οριζόντιος κανόνας σε όλες τις εν λόγω διατάξεις.</w:t>
      </w:r>
      <w:bookmarkEnd w:id="5"/>
    </w:p>
    <w:p w:rsidR="00A57BFD" w:rsidRPr="005B0D19" w:rsidRDefault="005B0D19">
      <w:pPr>
        <w:pStyle w:val="ManualConsidrant"/>
        <w:rPr>
          <w:noProof/>
        </w:rPr>
      </w:pPr>
      <w:bookmarkStart w:id="6" w:name="ae43"/>
      <w:r w:rsidRPr="005B0D19">
        <w:t>(46)</w:t>
      </w:r>
      <w:r w:rsidRPr="005B0D19">
        <w:tab/>
      </w:r>
      <w:r w:rsidRPr="005B0D19">
        <w:rPr>
          <w:noProof/>
        </w:rPr>
        <w:t xml:space="preserve">Τα κράτη μέλη θα πρέπει να δημιουργήσουν και να εφαρμόσουν ολοκληρωμένο σύστημα διαχείρισης και ελέγχου («ολοκληρωμένο σύστημα») για ορισμένες παρεμβάσεις που προβλέπονται στον κανονισμό (ΕΕ)…/… </w:t>
      </w:r>
      <w:r>
        <w:rPr>
          <w:noProof/>
        </w:rPr>
        <w:t xml:space="preserve">[κανονισμός για το στρατηγικό σχέδιο της ΚΓΠ] και για τα μέτρα που αναφέρονται στο κεφάλαιο IV του κανονισμού (ΕΕ) αριθ. </w:t>
      </w:r>
      <w:r w:rsidRPr="005B0D19">
        <w:rPr>
          <w:noProof/>
        </w:rPr>
        <w:t xml:space="preserve">228/2013 του Ευρωπαϊκού Κοινοβουλίου και του </w:t>
      </w:r>
      <w:r w:rsidRPr="005B0D19">
        <w:rPr>
          <w:noProof/>
        </w:rPr>
        <w:lastRenderedPageBreak/>
        <w:t>Συμβουλίου</w:t>
      </w:r>
      <w:r>
        <w:rPr>
          <w:rStyle w:val="af7"/>
          <w:noProof/>
        </w:rPr>
        <w:footnoteReference w:id="21"/>
      </w:r>
      <w:r w:rsidRPr="005B0D19">
        <w:rPr>
          <w:noProof/>
        </w:rPr>
        <w:t xml:space="preserve"> και στο κεφάλαιο</w:t>
      </w:r>
      <w:r>
        <w:rPr>
          <w:noProof/>
        </w:rPr>
        <w:t> IV</w:t>
      </w:r>
      <w:r w:rsidRPr="005B0D19">
        <w:rPr>
          <w:noProof/>
        </w:rPr>
        <w:t xml:space="preserve"> του κανονισμού (ΕΕ) αριθ.</w:t>
      </w:r>
      <w:r>
        <w:rPr>
          <w:noProof/>
        </w:rPr>
        <w:t> </w:t>
      </w:r>
      <w:r w:rsidRPr="005B0D19">
        <w:rPr>
          <w:noProof/>
        </w:rPr>
        <w:t>229/2013 του Ευρωπαϊκού Κοινοβουλίου και του Συμβουλίου</w:t>
      </w:r>
      <w:r>
        <w:rPr>
          <w:rStyle w:val="af7"/>
          <w:noProof/>
        </w:rPr>
        <w:footnoteReference w:id="22"/>
      </w:r>
      <w:r w:rsidRPr="005B0D19">
        <w:rPr>
          <w:noProof/>
        </w:rPr>
        <w:t xml:space="preserve"> αντίστοιχα. Για τη βελτίωση της αποτελεσματικότητας και της παρακολούθησης της ενωσιακής στήριξης, θα πρέπει να επιτρέπεται στα κράτη μέλη να χρησιμοποιούν το εν λόγω ολοκληρωμένο σύστημα και για άλλες ενωσιακές παρεμβάσεις.</w:t>
      </w:r>
      <w:bookmarkStart w:id="7" w:name="ae44"/>
      <w:bookmarkEnd w:id="6"/>
    </w:p>
    <w:bookmarkEnd w:id="7"/>
    <w:p w:rsidR="00A57BFD" w:rsidRPr="005B0D19" w:rsidRDefault="005B0D19">
      <w:pPr>
        <w:pStyle w:val="ManualConsidrant"/>
        <w:rPr>
          <w:noProof/>
        </w:rPr>
      </w:pPr>
      <w:r w:rsidRPr="005B0D19">
        <w:t>(47)</w:t>
      </w:r>
      <w:r w:rsidRPr="005B0D19">
        <w:tab/>
      </w:r>
      <w:r w:rsidRPr="005B0D19">
        <w:rPr>
          <w:noProof/>
        </w:rPr>
        <w:t xml:space="preserve">Θα πρέπει να διατηρηθούν τα υφιστάμενα κύρια στοιχεία του ολοκληρωμένου συστήματος, ιδίως οι διατάξεις σχετικά με ένα σύστημα αναγνώρισης αγροτεμαχίων, ένα σύστημα υποβολής αιτήσεων γεωχωρικών πληροφοριών και με βάση τα ζώα, ένα σύστημα αναγνώρισης και καταχώρισης των δικαιωμάτων ενίσχυσης, ένα σύστημα καταγραφής της ταυτότητας των δικαιούχων και ένα σύστημα ελέγχου και επιβολής κυρώσεων. Τα κράτη μέλη θα πρέπει να συνεχίσουν να χρησιμοποιούν τα προϊόντα δεδομένων ή πληροφοριών που παρέχονται από το πρόγραμμα </w:t>
      </w:r>
      <w:r>
        <w:rPr>
          <w:noProof/>
        </w:rPr>
        <w:t>Copernicus</w:t>
      </w:r>
      <w:r w:rsidRPr="005B0D19">
        <w:rPr>
          <w:noProof/>
        </w:rPr>
        <w:t xml:space="preserve">, πέραν των τεχνολογιών πληροφοριών όπως το </w:t>
      </w:r>
      <w:r>
        <w:rPr>
          <w:noProof/>
        </w:rPr>
        <w:t>GALILEO</w:t>
      </w:r>
      <w:r w:rsidRPr="005B0D19">
        <w:rPr>
          <w:noProof/>
        </w:rPr>
        <w:t xml:space="preserve"> και το </w:t>
      </w:r>
      <w:r>
        <w:rPr>
          <w:noProof/>
        </w:rPr>
        <w:t>EGNOS</w:t>
      </w:r>
      <w:r w:rsidRPr="005B0D19">
        <w:rPr>
          <w:noProof/>
        </w:rPr>
        <w:t xml:space="preserve">, προκειμένου να διασφαλιστεί η ύπαρξη συνολικών και συγκρίσιμων δεδομένων σε ολόκληρη την Ένωση για τους σκοπούς της παρακολούθησης της γεωργοπεριβαλλοντικής και κλιματικής πολιτικής για την ενίσχυση της χρήσης πλήρων, ελεύθερων και ανοιχτών δεδομένων και πληροφοριών από τους δορυφόρους και τις υπηρεσίες </w:t>
      </w:r>
      <w:r>
        <w:rPr>
          <w:noProof/>
        </w:rPr>
        <w:t>Copernicus</w:t>
      </w:r>
      <w:r w:rsidRPr="005B0D19">
        <w:rPr>
          <w:noProof/>
        </w:rPr>
        <w:t xml:space="preserve"> </w:t>
      </w:r>
      <w:r>
        <w:rPr>
          <w:noProof/>
        </w:rPr>
        <w:t>Sentinels</w:t>
      </w:r>
      <w:r w:rsidRPr="005B0D19">
        <w:rPr>
          <w:noProof/>
        </w:rPr>
        <w:t>. Για τον σκοπό αυτό, το ολοκληρωμένο σύστημα θα πρέπει να περιλαμβάνει επίσης σύστημα παρακολούθησης εκτάσεων</w:t>
      </w:r>
      <w:r w:rsidRPr="005B0D19">
        <w:rPr>
          <w:i/>
          <w:noProof/>
        </w:rPr>
        <w:t>.</w:t>
      </w:r>
    </w:p>
    <w:p w:rsidR="00A57BFD" w:rsidRPr="005B0D19" w:rsidRDefault="005B0D19">
      <w:pPr>
        <w:pStyle w:val="ManualConsidrant"/>
        <w:rPr>
          <w:noProof/>
        </w:rPr>
      </w:pPr>
      <w:r w:rsidRPr="005B0D19">
        <w:t>(48)</w:t>
      </w:r>
      <w:r w:rsidRPr="005B0D19">
        <w:tab/>
      </w:r>
      <w:r w:rsidRPr="005B0D19">
        <w:rPr>
          <w:noProof/>
        </w:rPr>
        <w:t>Το ολοκληρωμένο σύστημα, στο πλαίσιο των συστημάτων διακυβέρνησης που θα πρέπει να υπάρχουν για την εφαρμογή της ΚΓΠ, θα πρέπει να διασφαλίζει ότι τα συγκεντρωτικά στοιχεία που παρέχονται στις ετήσιες εκθέσεις απόδοσης είναι αξιόπιστα και επαληθεύσιμα. Δεδομένου ότι είναι σημαντικό να υπάρχει ένα ολοκληρωμένο σύστημα που λειτουργεί σωστά, είναι απαραίτητο να καθοριστούν απαιτήσεις ποιότητας. Τα κράτη μέλη θα πρέπει να διενεργούν ετήσια αξιολόγηση της ποιότητας του συστήματος αναγνώρισης αγροτεμαχίων, του συστήματος υποβολής αιτήσεων γεωχωρικών πληροφοριών και του συστήματος παρακολούθησης εκτάσεων. Τα κράτη μέλη πρέπει επίσης να αντιμετωπίζουν τυχόν ελλείψεις και, εφόσον το ζητήσει η Επιτροπή, να καταρτίζουν σχέδιο δράσης.</w:t>
      </w:r>
    </w:p>
    <w:p w:rsidR="00A57BFD" w:rsidRPr="005B0D19" w:rsidRDefault="005B0D19">
      <w:pPr>
        <w:pStyle w:val="ManualConsidrant"/>
        <w:rPr>
          <w:noProof/>
        </w:rPr>
      </w:pPr>
      <w:r w:rsidRPr="005B0D19">
        <w:t>(49)</w:t>
      </w:r>
      <w:r w:rsidRPr="005B0D19">
        <w:tab/>
      </w:r>
      <w:r w:rsidRPr="005B0D19">
        <w:rPr>
          <w:noProof/>
        </w:rPr>
        <w:t xml:space="preserve">Η ανακοίνωση της Επιτροπής με τίτλο «Το μέλλον των τροφίμων και της γεωργίας» ορίζει την ενίσχυση της περιβαλλοντικής φροντίδας και της δράσης για το κλίμα και τη συμβολή στην επίτευξη των περιβαλλοντικών και κλιματικών στόχων της Ένωσης ως στρατηγικό προσανατολισμό της μελλοντικής ΚΓΠ.  Ως εκ τούτου, η ανταλλαγή δεδομένων του Συστήματος Αναγνώρισης Αγροτεμαχίων και άλλων δεδομένων του Ολοκληρωμένου Συστήματος Διαχείρισης και Ελέγχου κατέστη αναγκαία για περιβαλλοντικούς και κλιματικούς σκοπούς σε εθνικό και ενωσιακό επίπεδο. Κατά συνέπεια, θα πρέπει να προβλεφθεί η ανταλλαγή δεδομένων τα οποία συλλέγονται μέσω του ολοκληρωμένου συστήματος και αφορούν περιβαλλοντικούς και κλιματικούς σκοπούς, μεταξύ των δημόσιων αρχών των κρατών μελών και των θεσμικών οργάνων και οργανισμών της Ένωσης. </w:t>
      </w:r>
      <w:r w:rsidRPr="005B0D19">
        <w:rPr>
          <w:noProof/>
          <w:sz w:val="22"/>
        </w:rPr>
        <w:t xml:space="preserve">Για να αυξηθεί η αποδοτικότητα στη χρήση των διαθέσιμων δεδομένων σε διάφορες δημόσιες αρχές με σκοπό την παραγωγή </w:t>
      </w:r>
      <w:r w:rsidRPr="005B0D19">
        <w:rPr>
          <w:noProof/>
          <w:sz w:val="22"/>
        </w:rPr>
        <w:lastRenderedPageBreak/>
        <w:t>ευρωπαϊκών στατιστικών, θα πρέπει επίσης να προβλέπεται ότι τα δεδομένα από το Ολοκληρωμένο Σύστημα πρέπει να καθίστανται διαθέσιμα για στατιστικούς σκοπούς στους οργανισμούς που αποτελούν μέρος του ευρωπαϊκού στατιστικού συστήματος.</w:t>
      </w:r>
    </w:p>
    <w:p w:rsidR="00A57BFD" w:rsidRPr="005B0D19" w:rsidRDefault="005B0D19">
      <w:pPr>
        <w:pStyle w:val="ManualConsidrant"/>
        <w:rPr>
          <w:noProof/>
        </w:rPr>
      </w:pPr>
      <w:r w:rsidRPr="005B0D19">
        <w:t>(50)</w:t>
      </w:r>
      <w:r w:rsidRPr="005B0D19">
        <w:tab/>
      </w:r>
      <w:r w:rsidRPr="005B0D19">
        <w:rPr>
          <w:noProof/>
        </w:rPr>
        <w:t>Ο έλεγχος των εμπορικών εγγράφων των δικαιούχων ή οφειλετών επιχειρήσεων που λαμβάνουν ή πραγματοποιούν πληρωμές μπορεί να αποτελέσει πολύ αποτελεσματικό μέσο ελέγχου των πράξεων που αποτελούν μέρος του συστήματος χρηματοδότησης του ΕΓΤΕ. Ο έλεγχος αυτός συμπληρώνει τους άλλους ελέγχους που πραγματοποιούνται ήδη από τα κράτη μέλη. Επιπλέον, οι εθνικές διατάξεις σχετικά με τον έλεγχο ενδέχεται να είναι ευρύτερες από αυτές που προβλέπονται στο δίκαιο της Ένωσης.</w:t>
      </w:r>
    </w:p>
    <w:p w:rsidR="00A57BFD" w:rsidRPr="005B0D19" w:rsidRDefault="005B0D19">
      <w:pPr>
        <w:pStyle w:val="ManualConsidrant"/>
        <w:rPr>
          <w:noProof/>
        </w:rPr>
      </w:pPr>
      <w:bookmarkStart w:id="8" w:name="ae49"/>
      <w:r w:rsidRPr="005B0D19">
        <w:t>(51)</w:t>
      </w:r>
      <w:r w:rsidRPr="005B0D19">
        <w:tab/>
      </w:r>
      <w:r w:rsidRPr="005B0D19">
        <w:rPr>
          <w:noProof/>
        </w:rPr>
        <w:t>Τα έγγραφα βάσει των οποίων πραγματοποιείται ο έλεγχος αυτός θα πρέπει να επιλέγονται κατά τρόπο τέτοιο ώστε να καθίσταται δυνατός ο πλήρης έλεγχος. Η επιλογή των επιχειρήσεων προς έλεγχο θα πρέπει να γίνεται με βάση τον χαρακτήρα των πράξεων που πραγματοποιούνται υπό την ευθύνη τους, καθώς και την κατανομή ανά τομέα των δικαιούχων ή οφειλετριών επιχειρήσεων σε συνάρτηση με την οικονομική τους σημασία στο πλαίσιο του συστήματος χρηματοδότησης του ΕΓΤΕ.</w:t>
      </w:r>
      <w:bookmarkEnd w:id="8"/>
    </w:p>
    <w:p w:rsidR="00A57BFD" w:rsidRPr="005B0D19" w:rsidRDefault="005B0D19">
      <w:pPr>
        <w:pStyle w:val="ManualConsidrant"/>
        <w:rPr>
          <w:noProof/>
        </w:rPr>
      </w:pPr>
      <w:bookmarkStart w:id="9" w:name="ae50"/>
      <w:r w:rsidRPr="005B0D19">
        <w:t>(52)</w:t>
      </w:r>
      <w:r w:rsidRPr="005B0D19">
        <w:tab/>
      </w:r>
      <w:r w:rsidRPr="005B0D19">
        <w:rPr>
          <w:noProof/>
        </w:rPr>
        <w:t>Είναι αναγκαίο να καθοριστούν οι αρμοδιότητες των υπαλλήλων που είναι υπεύθυνοι για τη διενέργεια των ελέγχων, καθώς και οι υποχρεώσεις των επιχειρήσεων να θέτουν στη διάθεσή τους, για καθορισμένη περίοδο, τα εμπορικά έγγραφα και να παρέχουν οποιαδήποτε πληροφορία τούς ζητηθεί. Θα πρέπει επίσης να επιτρέπεται η κατάσχεση εμπορικών εγγράφων σε ορισμένες περιπτώσεις.</w:t>
      </w:r>
      <w:bookmarkEnd w:id="9"/>
    </w:p>
    <w:p w:rsidR="00A57BFD" w:rsidRPr="005B0D19" w:rsidRDefault="005B0D19">
      <w:pPr>
        <w:pStyle w:val="ManualConsidrant"/>
        <w:rPr>
          <w:noProof/>
        </w:rPr>
      </w:pPr>
      <w:bookmarkStart w:id="10" w:name="ae51"/>
      <w:r w:rsidRPr="005B0D19">
        <w:t>(53)</w:t>
      </w:r>
      <w:r w:rsidRPr="005B0D19">
        <w:tab/>
      </w:r>
      <w:r w:rsidRPr="005B0D19">
        <w:rPr>
          <w:noProof/>
        </w:rPr>
        <w:t xml:space="preserve">Λαμβανομένης υπόψη της διεθνούς διάρθρωσης του εμπορίου στον τομέα της γεωργίας και προς όφελος της ορθής λειτουργίας της εσωτερικής αγοράς, είναι αναγκαίο να οργανωθεί η συνεργασία μεταξύ των κρατών μελών. Είναι επίσης αναγκαίο να δημιουργηθεί, σε ενωσιακό επίπεδο, κεντρικό σύστημα τεκμηρίωσης όσον αφορά τις επιχειρήσεις που είναι εγκατεστημένες σε τρίτες χώρες και </w:t>
      </w:r>
      <w:bookmarkEnd w:id="10"/>
      <w:r w:rsidRPr="005B0D19">
        <w:rPr>
          <w:noProof/>
        </w:rPr>
        <w:t>λαμβάνουν ή πραγματοποιούν πληρωμές.</w:t>
      </w:r>
    </w:p>
    <w:p w:rsidR="00A57BFD" w:rsidRPr="005B0D19" w:rsidRDefault="005B0D19">
      <w:pPr>
        <w:pStyle w:val="ManualConsidrant"/>
        <w:rPr>
          <w:noProof/>
        </w:rPr>
      </w:pPr>
      <w:bookmarkStart w:id="11" w:name="ae52"/>
      <w:r w:rsidRPr="005B0D19">
        <w:t>(54)</w:t>
      </w:r>
      <w:r w:rsidRPr="005B0D19">
        <w:tab/>
      </w:r>
      <w:r w:rsidRPr="005B0D19">
        <w:rPr>
          <w:noProof/>
        </w:rPr>
        <w:t>Ενώ τα κράτη μέλη είναι υπεύθυνα για την εφαρμογή των δικών τους προγραμμάτων ελέγχου, είναι αναγκαίο τα προγράμματα αυτά να ανακοινώνονται στην Επιτροπή ώστε να μπορεί να ασκεί τα ελεγκτικά και συντονιστικά καθήκοντά της προκειμένου να εξασφαλίζει ότι τα προγράμματα εγκρίνονται βάσει κατάλληλων κριτηρίων και ότι ο έλεγχος επικεντρώνεται σε τομείς ή επιχειρήσεις όπου ο κίνδυνος απάτης είναι αυξημένος. Είναι σημαντικό κάθε κράτος μέλος να ορίσει μια υπηρεσία υπεύθυνη για την παρακολούθηση του ελέγχου των εμπορικών εγγράφων και τον συντονισμό του ελέγχου αυτού. Οι εν λόγω εντεταλμένες υπηρεσίες θα πρέπει να είναι ανεξάρτητες από τις υπηρεσίες που πραγματοποιούν τον έλεγχο πριν από την πληρωμή. Οι συλλεγόμενες πληροφορίες, στο πλαίσιο των ελέγχων αυτών θα πρέπει να υπόκεινται σε ρήτρες εμπιστευτικότητας για την προστασία των επιχειρηματικών απορρήτων.</w:t>
      </w:r>
      <w:bookmarkEnd w:id="11"/>
      <w:r w:rsidRPr="005B0D19">
        <w:rPr>
          <w:noProof/>
        </w:rPr>
        <w:t xml:space="preserve"> </w:t>
      </w:r>
    </w:p>
    <w:p w:rsidR="00A57BFD" w:rsidRPr="005B0D19" w:rsidRDefault="005B0D19">
      <w:pPr>
        <w:pStyle w:val="ManualConsidrant"/>
        <w:rPr>
          <w:noProof/>
        </w:rPr>
      </w:pPr>
      <w:r w:rsidRPr="005B0D19">
        <w:t>(55)</w:t>
      </w:r>
      <w:r w:rsidRPr="005B0D19">
        <w:tab/>
      </w:r>
      <w:r w:rsidRPr="005B0D19">
        <w:rPr>
          <w:noProof/>
        </w:rPr>
        <w:t>Οι προϋποθέσεις αποτελούν σημαντικό στοιχείο της ΚΓΠ, ιδίως όσον αφορά τα σχετικά με το περιβάλλον και το κλίμα στοιχεία της, αλλά και για τα ζητήματα που αφορούν τη δημόσια υγεία και τα ζώα. Αυτό συνεπάγεται ότι θα πρέπει να διεξάγονται έλεγχοι και, εφόσον απαιτείται, να επιβάλλονται κυρώσεις για τη διασφάλιση της αποτελεσματικότητας του συστήματος προϋποθέσεων. Για να υπάρξουν ίσοι όροι ανταγωνισμού μεταξύ των δικαιούχων σε διάφορα κράτη μέλη, θα πρέπει να θεσπιστούν ορισμένοι γενικοί κανόνες σχετικά με τις προϋποθέσεις και τις κυρώσεις σε επίπεδο Ένωσης.</w:t>
      </w:r>
    </w:p>
    <w:p w:rsidR="00A57BFD" w:rsidRPr="005B0D19" w:rsidRDefault="005B0D19">
      <w:pPr>
        <w:pStyle w:val="ManualConsidrant"/>
        <w:rPr>
          <w:noProof/>
        </w:rPr>
      </w:pPr>
      <w:r w:rsidRPr="005B0D19">
        <w:t>(56)</w:t>
      </w:r>
      <w:r w:rsidRPr="005B0D19">
        <w:tab/>
      </w:r>
      <w:r w:rsidRPr="005B0D19">
        <w:rPr>
          <w:noProof/>
        </w:rPr>
        <w:t xml:space="preserve">Προκειμένου να εξασφαλιστεί η εναρμονισμένη τήρηση των προϋποθέσεων από τα κράτη μέλη, είναι απαραίτητο να προβλεφθεί ελάχιστο ποσοστό ελέγχου σε επίπεδο </w:t>
      </w:r>
      <w:r w:rsidRPr="005B0D19">
        <w:rPr>
          <w:noProof/>
        </w:rPr>
        <w:lastRenderedPageBreak/>
        <w:t>Ένωσης, ενώ η οργάνωση των αρμόδιων φορέων ελέγχου και των ελέγχων θα πρέπει να είναι στη διακριτική ευχέρεια των κρατών μελών.</w:t>
      </w:r>
    </w:p>
    <w:p w:rsidR="00A57BFD" w:rsidRPr="005B0D19" w:rsidRDefault="005B0D19">
      <w:pPr>
        <w:pStyle w:val="ManualConsidrant"/>
        <w:rPr>
          <w:noProof/>
        </w:rPr>
      </w:pPr>
      <w:r w:rsidRPr="005B0D19">
        <w:t>(57)</w:t>
      </w:r>
      <w:r w:rsidRPr="005B0D19">
        <w:tab/>
      </w:r>
      <w:r w:rsidRPr="005B0D19">
        <w:rPr>
          <w:noProof/>
        </w:rPr>
        <w:t>Ενώ τα κράτη μέλη θα πρέπει να επιτρέπεται σ τα κράτη μέλη να καθορίζουν τις λεπτομέρειες σχετικά με τις κυρώσεις, οι κυρώσεις αυτές θα πρέπει να είναι αναλογικές, αποτελεσματικές και αποτρεπτικές και να μην θίγουν άλλες κυρώσεις που προβλέπονται από την ενωσιακή ή την εθνική νομοθεσία. Για να εξασφαλιστεί αποτελεσματική και συνεκτική προσέγγιση από τα κράτη μέλη, είναι απαραίτητο να θεσπιστεί ελάχιστη κύρωση σε επίπεδο Ένωσης για περιστατικά μη συμμόρφωσης που συμβαίνουν για πρώτη φορά εξαιτίας αμέλειας, ενώ τυχόν επανεμφάνιση θα πρέπει να συνεπάγεται υψηλότερο ποσοστό και, σε περίπτωση πρόθεσης, να προβλέπεται πλήρης αποκλεισμός από την ενίσχυση. Για να εξασφαλιστεί η αναλογικότητα των κυρώσεων, όταν η μη συμμόρφωση είναι ασήμαντη και εμφανίζεται για πρώτη φορά, θα πρέπει να επιτραπεί στα κράτη μέλη να καθιερώσουν σύστημα έγκαιρης προειδοποίησης.</w:t>
      </w:r>
      <w:r w:rsidRPr="005B0D19">
        <w:rPr>
          <w:noProof/>
          <w:highlight w:val="yellow"/>
        </w:rPr>
        <w:t xml:space="preserve"> </w:t>
      </w:r>
    </w:p>
    <w:p w:rsidR="00A57BFD" w:rsidRPr="005B0D19" w:rsidRDefault="005B0D19">
      <w:pPr>
        <w:pStyle w:val="ManualConsidrant"/>
        <w:rPr>
          <w:noProof/>
        </w:rPr>
      </w:pPr>
      <w:r w:rsidRPr="005B0D19">
        <w:t>(58)</w:t>
      </w:r>
      <w:r w:rsidRPr="005B0D19">
        <w:tab/>
      </w:r>
      <w:r w:rsidRPr="005B0D19">
        <w:rPr>
          <w:noProof/>
        </w:rPr>
        <w:t>Για να εξασφαλίζονται ίσοι όροι ανταγωνισμού μεταξύ των κρατών μελών, καθώς και η αποτελεσματικότητα και το αποτρεπτικό αποτέλεσμα του συστήματος κυρώσεων για την τήρηση των προϋποθέσεων, θα πρέπει να ανατεθεί στην Επιτροπή η εξουσία να εκδίδει κατ’</w:t>
      </w:r>
      <w:r>
        <w:rPr>
          <w:noProof/>
        </w:rPr>
        <w:t> </w:t>
      </w:r>
      <w:r w:rsidRPr="005B0D19">
        <w:rPr>
          <w:noProof/>
        </w:rPr>
        <w:t>εξουσιοδότηση πράξεις σχετικά με τον υπολογισμό και την επιβολή των εν λόγω κυρώσεων.</w:t>
      </w:r>
    </w:p>
    <w:p w:rsidR="00A57BFD" w:rsidRPr="005B0D19" w:rsidRDefault="005B0D19">
      <w:pPr>
        <w:pStyle w:val="ManualConsidrant"/>
        <w:rPr>
          <w:noProof/>
        </w:rPr>
      </w:pPr>
      <w:r w:rsidRPr="005B0D19">
        <w:t>(59)</w:t>
      </w:r>
      <w:r w:rsidRPr="005B0D19">
        <w:tab/>
      </w:r>
      <w:r w:rsidRPr="005B0D19">
        <w:rPr>
          <w:noProof/>
        </w:rPr>
        <w:t>Για να εξασφαλιστεί η αρμονική συνεργασία της Επιτροπής με τα κράτη μέλη όσον αφορά τη χρηματοδότηση των δαπανών της ΚΓΠ και, ειδικότερα, να δοθεί στην Επιτροπή η δυνατότητα να παρακολουθεί στενά τη δημοσιονομική διαχείριση που ασκούν τα κράτη μέλη και να εκκαθαρίζει τους λογαριασμούς των διαπιστευμένων οργανισμών πληρωμών, είναι απαραίτητο τα κράτη μέλη να διατηρούν συγκεκριμένες πληροφορίες και να τις κοινοποιούν στην Επιτροπή.</w:t>
      </w:r>
    </w:p>
    <w:p w:rsidR="00A57BFD" w:rsidRPr="005B0D19" w:rsidRDefault="005B0D19">
      <w:pPr>
        <w:pStyle w:val="ManualConsidrant"/>
        <w:rPr>
          <w:noProof/>
        </w:rPr>
      </w:pPr>
      <w:bookmarkStart w:id="12" w:name="ae62"/>
      <w:r w:rsidRPr="005B0D19">
        <w:t>(60)</w:t>
      </w:r>
      <w:r w:rsidRPr="005B0D19">
        <w:tab/>
      </w:r>
      <w:r w:rsidRPr="005B0D19">
        <w:rPr>
          <w:noProof/>
        </w:rPr>
        <w:t>Για τη συγκέντρωση των στοιχείων που πρέπει να διαβιβάζονται στην Επιτροπή και για να έχει η Επιτροπή πλήρη και άμεση πρόσβαση στα δεδομένα που αφορούν τις δαπάνες, τόσο σε έντυπη όσο και σε ηλεκτρονική μορφή, θα πρέπει να καθοριστούν κατάλληλοι κανόνες για την υποβολή και τη διαβίβαση των δεδομένων, συμπεριλαμβανομένων κανόνων για τις προθεσμίες.</w:t>
      </w:r>
      <w:bookmarkEnd w:id="12"/>
    </w:p>
    <w:p w:rsidR="00A57BFD" w:rsidRPr="005B0D19" w:rsidRDefault="005B0D19">
      <w:pPr>
        <w:pStyle w:val="ManualConsidrant"/>
        <w:rPr>
          <w:noProof/>
        </w:rPr>
      </w:pPr>
      <w:bookmarkStart w:id="13" w:name="ae63"/>
      <w:r w:rsidRPr="005B0D19">
        <w:t>(61)</w:t>
      </w:r>
      <w:r w:rsidRPr="005B0D19">
        <w:tab/>
      </w:r>
      <w:r w:rsidRPr="005B0D19">
        <w:rPr>
          <w:noProof/>
        </w:rPr>
        <w:t>Δεδομένου ότι υπάρχει πιθανότητα να επηρεαστούν προσωπικά δεδομένα ή εμπορικά απόρρητα στο πλαίσιο της εφαρμογής των εθνικών συστημάτων ελέγχου και της διαδικασίας εκκαθάρισης ως προς τη συμμόρφωση, τα κράτη μέλη και η Επιτροπή θα πρέπει να διασφαλίζουν τον εμπιστευτικό χαρακτήρα των στοιχείων που λαμβάνουν στο πλαίσιο αυτό.</w:t>
      </w:r>
      <w:bookmarkEnd w:id="13"/>
    </w:p>
    <w:p w:rsidR="00A57BFD" w:rsidRPr="005B0D19" w:rsidRDefault="005B0D19">
      <w:pPr>
        <w:pStyle w:val="ManualConsidrant"/>
        <w:rPr>
          <w:noProof/>
        </w:rPr>
      </w:pPr>
      <w:bookmarkStart w:id="14" w:name="ae64"/>
      <w:r w:rsidRPr="005B0D19">
        <w:t>(62)</w:t>
      </w:r>
      <w:r w:rsidRPr="005B0D19">
        <w:tab/>
      </w:r>
      <w:r w:rsidRPr="005B0D19">
        <w:rPr>
          <w:noProof/>
        </w:rPr>
        <w:t>Για τη χρηστή διαχείριση του προϋπολογισμού της ΕΕ και την ίση μεταχείριση τόσο σε επίπεδο των κρατών μελών όσο και των δικαιούχων, θα πρέπει να καθοριστούν κανόνες όσον αφορά τη χρήση του ευρώ.</w:t>
      </w:r>
      <w:bookmarkEnd w:id="14"/>
    </w:p>
    <w:p w:rsidR="00A57BFD" w:rsidRPr="005B0D19" w:rsidRDefault="005B0D19">
      <w:pPr>
        <w:pStyle w:val="ManualConsidrant"/>
        <w:rPr>
          <w:noProof/>
        </w:rPr>
      </w:pPr>
      <w:bookmarkStart w:id="15" w:name="ae65"/>
      <w:r w:rsidRPr="005B0D19">
        <w:t>(63)</w:t>
      </w:r>
      <w:r w:rsidRPr="005B0D19">
        <w:tab/>
      </w:r>
      <w:r w:rsidRPr="005B0D19">
        <w:rPr>
          <w:noProof/>
        </w:rPr>
        <w:t>Η συναλλαγματική ισοτιμία του ευρώ με το εθνικό νόμισμα μπορεί να μεταβληθεί στη διάρκεια της περιόδου κατά την οποία πραγματοποιείται μια πράξη. Για τον λόγο αυτό, η ισοτιμία που εφαρμόζεται στα σχετικά ποσά θα πρέπει να καθορίζεται λαμβανομένου υπόψη του γεγονότος μέσω του οποίου επιτυγχάνεται ο οικονομικός στόχος της εν λόγω πράξης. Η εφαρμοζόμενη ισοτιμία θα πρέπει να είναι η ισοτιμία της ημέρας κατά την οποία συμβαίνει το γεγονός αυτό. Είναι αναγκαίο να προσδιορίζεται η γενεσιουργός αιτία ή να υπάρχει παρέκκλιση απ’</w:t>
      </w:r>
      <w:r>
        <w:rPr>
          <w:noProof/>
        </w:rPr>
        <w:t> </w:t>
      </w:r>
      <w:r w:rsidRPr="005B0D19">
        <w:rPr>
          <w:noProof/>
        </w:rPr>
        <w:t>αυτή, τηρουμένων ορισμένων κριτηρίων και ιδίως της ταχύτητας με την οποία πραγματοποιούνται οι νομισματικές διακυμάνσεις.</w:t>
      </w:r>
      <w:bookmarkStart w:id="16" w:name="ae66"/>
      <w:bookmarkEnd w:id="15"/>
      <w:r w:rsidRPr="005B0D19">
        <w:rPr>
          <w:noProof/>
        </w:rPr>
        <w:t xml:space="preserve"> Θα πρέπει να θεσπιστούν ειδικοί κανόνες για τη </w:t>
      </w:r>
      <w:r w:rsidRPr="005B0D19">
        <w:rPr>
          <w:noProof/>
        </w:rPr>
        <w:lastRenderedPageBreak/>
        <w:t>διευθέτηση έκτακτων νομισματικών καταστάσεων που προκύπτουν είτε εντός της Ένωσης είτε στην παγκόσμια αγορά και απαιτούν την ανάληψη άμεσης δράσης για τη διασφάλιση της αποτελεσματικής εφαρμογής των ρυθμίσεων που θεσπίζονται στο πλαίσιο της ΚΓΠ.</w:t>
      </w:r>
      <w:bookmarkEnd w:id="16"/>
    </w:p>
    <w:p w:rsidR="00A57BFD" w:rsidRPr="005B0D19" w:rsidRDefault="005B0D19">
      <w:pPr>
        <w:pStyle w:val="ManualConsidrant"/>
        <w:rPr>
          <w:noProof/>
        </w:rPr>
      </w:pPr>
      <w:bookmarkStart w:id="17" w:name="ae67"/>
      <w:r w:rsidRPr="005B0D19">
        <w:t>(64)</w:t>
      </w:r>
      <w:r w:rsidRPr="005B0D19">
        <w:tab/>
      </w:r>
      <w:r w:rsidRPr="005B0D19">
        <w:rPr>
          <w:noProof/>
        </w:rPr>
        <w:t>Τα κράτη μέλη που δεν έχουν υιοθετήσει το ευρώ θα πρέπει να μπορούν να έχουν τη δυνατότητα να πραγματοποιούν πληρωμές για δαπάνες που προκύπτουν από τη νομοθεσία της ΚΓΠ σε ευρώ και όχι στο εθνικό τους νόμισμα. Απαιτούνται ειδικοί κανόνες που θα εξασφαλίζουν ότι η δυνατότητα αυτή δεν δημιουργεί αδικαιολόγητο πλεονέκτημα για τους δικαιούχους ή τους χρεώστες.</w:t>
      </w:r>
      <w:bookmarkEnd w:id="17"/>
    </w:p>
    <w:p w:rsidR="00A57BFD" w:rsidRPr="005B0D19" w:rsidRDefault="005B0D19">
      <w:pPr>
        <w:pStyle w:val="ManualConsidrant"/>
        <w:rPr>
          <w:noProof/>
        </w:rPr>
      </w:pPr>
      <w:r w:rsidRPr="005B0D19">
        <w:t>(65)</w:t>
      </w:r>
      <w:r w:rsidRPr="005B0D19">
        <w:tab/>
      </w:r>
      <w:r w:rsidRPr="005B0D19">
        <w:rPr>
          <w:noProof/>
        </w:rPr>
        <w:t>Το δίκαιο της Ένωσης σχετικά με την προστασία των φυσικών προσώπων έναντι της επεξεργασίας δεδομένων προσωπικού χαρακτήρα και για την ελεύθερη κυκλοφορία των δεδομένων αυτών, και ειδικότερα οι κανονισμοί (ΕΚ) αριθ. 45/2001</w:t>
      </w:r>
      <w:r>
        <w:rPr>
          <w:rStyle w:val="af7"/>
          <w:noProof/>
        </w:rPr>
        <w:footnoteReference w:id="23"/>
      </w:r>
      <w:r w:rsidRPr="005B0D19">
        <w:rPr>
          <w:noProof/>
        </w:rPr>
        <w:t xml:space="preserve"> και (ΕΕ) 2016/679 του Ευρωπαϊκού Κοινοβουλίου και του Συμβουλίου</w:t>
      </w:r>
      <w:r>
        <w:rPr>
          <w:rStyle w:val="af7"/>
          <w:noProof/>
        </w:rPr>
        <w:footnoteReference w:id="24"/>
      </w:r>
      <w:r w:rsidRPr="005B0D19">
        <w:rPr>
          <w:noProof/>
        </w:rPr>
        <w:t>, θα πρέπει να εφαρμόζεται κατά τη συλλογή δεδομένων προσωπικού χαρακτήρα από τα κράτη μέλη και την Επιτροπή για τον σκοπό της εκπλήρωσης των αντίστοιχων υποχρεώσεών τους όσον αφορά τη διαχείριση, τον έλεγχο, τον λογιστικό έλεγχο, καθώς και την παρακολούθηση και αξιολόγηση δυνάμει του παρόντος κανονισμού.</w:t>
      </w:r>
    </w:p>
    <w:p w:rsidR="00A57BFD" w:rsidRDefault="005B0D19">
      <w:pPr>
        <w:pStyle w:val="ManualConsidrant"/>
        <w:rPr>
          <w:noProof/>
        </w:rPr>
      </w:pPr>
      <w:bookmarkStart w:id="18" w:name="ae75"/>
      <w:r w:rsidRPr="005B0D19">
        <w:t>(66)</w:t>
      </w:r>
      <w:r w:rsidRPr="005B0D19">
        <w:tab/>
      </w:r>
      <w:r w:rsidRPr="005B0D19">
        <w:rPr>
          <w:noProof/>
        </w:rPr>
        <w:t>Η δημοσιοποίηση των ονομάτων των δικαιούχων των ταμείων παρέχει ένα εργαλείο ενίσχυσης του δημόσιου ελέγχου της χρήσης των ταμείων και απαιτείται για την εξασφάλιση επαρκούς επιπέδου προστασίας των οικονομικών συμφερόντων της Ένωσης. Αυτό επιτυγχάνεται εν μέρει με το προληπτικό και αποτρεπτικό αποτέλεσμα της δημοσιοποίησης αυτής, με την αποθάρρυνση των δικαιούχων από παράτυπες συμπεριφορές και, ταυτοχρόνως, με την ενίσχυση της προσωπικής ευθύνης των γεωργών για τη χρήση των δημόσιων πόρων που λαμβάνουν.</w:t>
      </w:r>
      <w:bookmarkEnd w:id="18"/>
      <w:r w:rsidRPr="005B0D19">
        <w:rPr>
          <w:noProof/>
        </w:rPr>
        <w:t xml:space="preserve"> Η δημοσιοποίηση των κατάλληλων πληροφοριών συνάδει με την πρόσφατη νομολογία του Δικαστηρίου της ευρωπαϊκής Ένωσης και επίσης με την προσέγγιση που ορίζεται στον κανονισμό (ΕΕ, Ευρατόμ) αριθ. </w:t>
      </w:r>
      <w:r>
        <w:rPr>
          <w:noProof/>
        </w:rPr>
        <w:t>966/2012.</w:t>
      </w:r>
    </w:p>
    <w:p w:rsidR="00A57BFD" w:rsidRDefault="005B0D19">
      <w:pPr>
        <w:pStyle w:val="ManualConsidrant"/>
        <w:rPr>
          <w:noProof/>
        </w:rPr>
      </w:pPr>
      <w:bookmarkStart w:id="19" w:name="ae76"/>
      <w:r>
        <w:t>(67)</w:t>
      </w:r>
      <w:r>
        <w:tab/>
      </w:r>
      <w:r>
        <w:rPr>
          <w:noProof/>
        </w:rPr>
        <w:t>Στο πλαίσιο αυτό, θα πρέπει να αναγνωριστεί καταλλήλως ο ρόλος που διαδραματίζει η κοινωνία πολιτών, συμπεριλαμβανομένων των μέσων ενημέρωσης και των μη κυβερνητικών οργανώσεων, και η συμμετοχή τους στην ενίσχυση του ελεγκτικού πλαισίου των διοικήσεων κατά της απάτης και της κατάχρησης των δημόσιων πόρων.</w:t>
      </w:r>
      <w:bookmarkEnd w:id="19"/>
    </w:p>
    <w:p w:rsidR="00A57BFD" w:rsidRDefault="005B0D19">
      <w:pPr>
        <w:pStyle w:val="ManualConsidrant"/>
        <w:rPr>
          <w:noProof/>
        </w:rPr>
      </w:pPr>
      <w:bookmarkStart w:id="20" w:name="ae77"/>
      <w:r>
        <w:t>(68)</w:t>
      </w:r>
      <w:r>
        <w:tab/>
      </w:r>
      <w:r>
        <w:rPr>
          <w:noProof/>
        </w:rPr>
        <w:t>Ο κανονισμός (ΕΕ).../... [κανονισμός ΚΚΔ</w:t>
      </w:r>
      <w:r>
        <w:rPr>
          <w:rStyle w:val="af7"/>
          <w:noProof/>
        </w:rPr>
        <w:footnoteReference w:id="25"/>
      </w:r>
      <w:r>
        <w:rPr>
          <w:noProof/>
        </w:rPr>
        <w:t>] θεσπίζει κανόνες για τη διαφάνεια κατά την εφαρμογή των Ευρωπαϊκών Διαρθρωτικών και Επενδυτικών Ταμείων και κατά την κοινοποίηση των προγραμμάτων στο πλαίσιο των Ταμείων. Για να εξασφαλιστεί συνοχή, θα πρέπει να προβλεφθεί ότι οι εν λόγω κανόνες εφαρμόζονται επίσης, κατά περίπτωση, στους δικαιούχους των παρεμβάσεων του ΕΓΤΑΑ και του ΕΓΤΕ.</w:t>
      </w:r>
    </w:p>
    <w:p w:rsidR="00A57BFD" w:rsidRDefault="005B0D19">
      <w:pPr>
        <w:pStyle w:val="ManualConsidrant"/>
        <w:rPr>
          <w:noProof/>
        </w:rPr>
      </w:pPr>
      <w:bookmarkStart w:id="21" w:name="ae81"/>
      <w:bookmarkEnd w:id="20"/>
      <w:r>
        <w:t>(69)</w:t>
      </w:r>
      <w:r>
        <w:tab/>
      </w:r>
      <w:r>
        <w:rPr>
          <w:noProof/>
        </w:rPr>
        <w:t xml:space="preserve">Ο στόχος του δημόσιου ελέγχου της χρήσης των κονδυλίων των ταμείων που επιδιώκεται με τη δημοσιοποίηση των στοιχείων των δικαιούχων μπορεί να επιτευχθεί </w:t>
      </w:r>
      <w:r>
        <w:rPr>
          <w:noProof/>
        </w:rPr>
        <w:lastRenderedPageBreak/>
        <w:t>μόνο με την εξασφάλιση της διάθεσης ορισμένων πληροφοριών στο κοινό. Οι πληροφορίες αυτές πρέπει να περιλαμβάνουν τα στοιχεία ταυτότητας του δικαιούχου, το ποσό που χορηγήθηκε και από ποιο ταμείο, καθώς και τον σκοπό και τη φύση της οικείας παρέμβασης ή του μέτρου. Η δημοσιοποίηση των εν λόγω πληροφοριών πρέπει να γίνεται με τέτοιο τρόπο ώστε να θίγει σε μικρότερο βαθμό το δικαίωμα των δικαιούχων στην ιδιωτική τους ζωή και στα προσωπικά δεδομένα, δικαιώματα που κατοχυρώνονται στα άρθρα 7 και 8 του Χάρτη των Θεμελιωδών Δικαιωμάτων της Ευρωπαϊκής Ένωσης.</w:t>
      </w:r>
    </w:p>
    <w:p w:rsidR="00A57BFD" w:rsidRDefault="005B0D19">
      <w:pPr>
        <w:pStyle w:val="ManualConsidrant"/>
        <w:rPr>
          <w:noProof/>
        </w:rPr>
      </w:pPr>
      <w:r>
        <w:t>(70)</w:t>
      </w:r>
      <w:r>
        <w:tab/>
      </w:r>
      <w:r>
        <w:rPr>
          <w:noProof/>
        </w:rPr>
        <w:t>Με τη δημοσιοποίηση λεπτομερειών σχετικά με το μέτρο ή την παρέμβαση μέσω των οποίων δικαιούται ενίσχυσης ο δικαιούχος και σχετικά με τη φύση και τον σκοπό της ενίσχυσης, το κοινό αποκτά συγκεκριμένη εικόνα της επιδοτούμενης δραστηριότητας και του σκοπού για τον οποίο χορηγήθηκε η ενίσχυση. Η παροχή τέτοιου είδους εποπτείας στο κοινό θα έχει προληπτικό και αποτρεπτικό αποτέλεσμα και θα συμβάλει στην προστασία των οικονομικών συμφερόντων της Ένωσης.</w:t>
      </w:r>
      <w:bookmarkEnd w:id="21"/>
    </w:p>
    <w:p w:rsidR="00A57BFD" w:rsidRDefault="005B0D19">
      <w:pPr>
        <w:pStyle w:val="ManualConsidrant"/>
        <w:rPr>
          <w:noProof/>
        </w:rPr>
      </w:pPr>
      <w:bookmarkStart w:id="22" w:name="ae84"/>
      <w:r>
        <w:t>(71)</w:t>
      </w:r>
      <w:r>
        <w:tab/>
      </w:r>
      <w:r>
        <w:rPr>
          <w:noProof/>
        </w:rPr>
        <w:t>Η δημοσίευση των εν λόγω πληροφοριών, σε συνδυασμό με τη γενική ενημέρωση που προβλέπεται στον παρόντα κανονισμό, ενισχύει τη διαφανή χρήση των ενωσιακών κονδυλίων της ΚΓΠ, συμβάλλοντας στην προβολή και την καλύτερη κατανόησή της. Επιτρέπει στους πολίτες να συμμετέχουν περισσότερο στη διαδικασία λήψης αποφάσεων και, παράλληλα, εγγυάται μεγαλύτερη νομιμότητα, αποτελεσματικότητα και λογοδοσία της διοίκησης έναντι του πολίτη. Επίσης, προσφέρει στους πολίτες συγκεκριμένα παραδείγματα της παροχής «δημόσιων αγαθών» μέσω της γεωργίας νομιμοποιώντας έτσι τη στήριξη που παρέχει το κράτος στον γεωργικό τομέα.</w:t>
      </w:r>
      <w:bookmarkEnd w:id="22"/>
    </w:p>
    <w:p w:rsidR="00A57BFD" w:rsidRDefault="005B0D19">
      <w:pPr>
        <w:pStyle w:val="ManualConsidrant"/>
        <w:rPr>
          <w:noProof/>
        </w:rPr>
      </w:pPr>
      <w:bookmarkStart w:id="23" w:name="ae85"/>
      <w:r>
        <w:t>(72)</w:t>
      </w:r>
      <w:r>
        <w:tab/>
      </w:r>
      <w:r>
        <w:rPr>
          <w:noProof/>
        </w:rPr>
        <w:t>Συνάγεται, επομένως, ότι η πρόβλεψη της γενικής δημοσιοποίησης των συναφών πληροφοριών δεν υπερβαίνει τα αναγκαία για μια δημοκρατική κοινωνία και για την προστασία των οικονομικών συμφερόντων της Ένωσης, λαμβανομένης επίσης υπόψη της προέχουσας βαρύτητας του επιδιωκόμενου στόχου που συνίσταται στη δημόσια εποπτεία της χρήσης των κονδυλίων των ταμείων.</w:t>
      </w:r>
      <w:bookmarkEnd w:id="23"/>
    </w:p>
    <w:p w:rsidR="00A57BFD" w:rsidRDefault="005B0D19">
      <w:pPr>
        <w:pStyle w:val="ManualConsidrant"/>
        <w:rPr>
          <w:noProof/>
        </w:rPr>
      </w:pPr>
      <w:bookmarkStart w:id="24" w:name="ae86"/>
      <w:r>
        <w:t>(73)</w:t>
      </w:r>
      <w:r>
        <w:tab/>
      </w:r>
      <w:r>
        <w:rPr>
          <w:noProof/>
        </w:rPr>
        <w:t>Για να πληρούνται οι απαιτήσεις περί προστασίας των δεδομένων, οι δικαιούχοι πρέπει να ενημερώνονται εκ των προτέρων για τη δημοσιοποίηση των δεδομένων που τους αφορούν και ότι τα δεδομένα είναι δυνατόν να υποστούν επεξεργασία από ελεγκτικούς και ανακριτικούς φορείς της Ένωσης και των κρατών μελών προς διαφύλαξη των οικονομικών συμφερόντων της Ένωσης. Θα πρέπει επίσης να ενημερώνονται ότι τα δεδομένα αυτά δύναται να υποβληθούν σε επεξεργασία από όργανα ελέγχου και έρευνας της Ένωσης και των κρατών μελών με σκοπό τη διαφύλαξη των οικονομικών συμφερόντων της Ένωσης. Επιπλέον, οι δικαιούχοι θα πρέπει να ενημερώνονται σχετικά με τα δικαιώματά τους δυνάμει του κανονισμού (ΕΕ) 2016/679 και για τις ακολουθητέες διαδικασίες προς άσκηση αυτών.</w:t>
      </w:r>
      <w:bookmarkEnd w:id="24"/>
      <w:r>
        <w:rPr>
          <w:noProof/>
        </w:rPr>
        <w:t xml:space="preserve"> </w:t>
      </w:r>
    </w:p>
    <w:p w:rsidR="00A57BFD" w:rsidRDefault="005B0D19">
      <w:pPr>
        <w:pStyle w:val="ManualConsidrant"/>
        <w:rPr>
          <w:noProof/>
        </w:rPr>
      </w:pPr>
      <w:r>
        <w:t>(74)</w:t>
      </w:r>
      <w:r>
        <w:tab/>
      </w:r>
      <w:r>
        <w:rPr>
          <w:noProof/>
        </w:rPr>
        <w:t xml:space="preserve">Για τη συμπλήρωση ή την τροποποίηση ορισμένων μη ουσιωδών στοιχείων του παρόντος κανονισμού, θα πρέπει να ανατεθεί στην Επιτροπή η εξουσία έκδοσης πράξεων σύμφωνα με το άρθρο 290 της Συνθήκης. Έχει ιδιαίτερη σημασία να διεξάγει η Επιτροπή τις απαιτούμενες διαβουλεύσεις κατά τη διάρκεια του προπαρασκευαστικού έργου της, συμπεριλαμβανομένων διαβουλεύσεων σε επίπεδο εμπειρογνωμόνων, και οι εν λόγω διαβουλεύσεις να διεξάγονται σύμφωνα με τις αρχές που προβλέπονται στη διοργανική συμφωνία της 13ης Απριλίου 2016 για τη βελτίωση του νομοθετικού έργου. Πιο συγκεκριμένα, προκειμένου να εξασφαλιστεί η ίση συμμετοχή στην προετοιμασία των κατ’ εξουσιοδότηση πράξεων, το Ευρωπαϊκό Κοινοβούλιο και το Συμβούλιο λαμβάνουν όλα τα έγγραφα κατά τον ίδιο χρόνο με τους εμπειρογνώμονες των κρατών μελών, και οι εμπειρογνώμονές τους έχουν </w:t>
      </w:r>
      <w:r>
        <w:rPr>
          <w:noProof/>
        </w:rPr>
        <w:lastRenderedPageBreak/>
        <w:t>συστηματικά πρόσβαση στις συνεδριάσεις των ομάδων εμπειρογνωμόνων της Επιτροπής που ασχολούνται με την προετοιμασία των κατ’ εξουσιοδότηση πράξεων.</w:t>
      </w:r>
    </w:p>
    <w:p w:rsidR="00A57BFD" w:rsidRDefault="005B0D19">
      <w:pPr>
        <w:pStyle w:val="ManualConsidrant"/>
        <w:rPr>
          <w:noProof/>
        </w:rPr>
      </w:pPr>
      <w:r>
        <w:t>(75)</w:t>
      </w:r>
      <w:r>
        <w:tab/>
      </w:r>
      <w:r>
        <w:rPr>
          <w:noProof/>
        </w:rPr>
        <w:t>Για τη συμπλήρωση ορισμένων μη ουσιωδών στοιχείων του παρόντος κανονισμού, θα πρέπει να εξουσιοδοτηθεί η Επιτροπή να εκδίδει πράξεις κατά το άρθρο 290 της Συνθήκης. Η εν λόγω εξουσιοδότηση θα πρέπει να αφορά τη διαπίστευση των οργανισμών πληρωμών και των οργανισμών συντονισμού, τις υποχρεώσεις των οργανισμών πληρωμών σχετικά με τη δημόσια παρέμβαση, τους κανόνες σχετικά με το περιεχόμενο των αρμοδιοτήτων των οργανισμών διαχείρισης και ελέγχου, τους κανόνες για τον υπολογισμό της δημοσιονομικής πειθαρχίας που θα εφαρμόζονται από τα κράτη μέλη στους γεωργούς, τους τύπους των μέτρων που πρόκειται να χρηματοδοτηθούν από τον προϋπολογισμό της Ένωσης στο πλαίσιο της δημόσιας παρέμβασης και τους όρους επιστροφής των ποσών, τους όρους επιλεξιμότητας και τις μεθόδους υπολογισμού με βάση τις πληροφορίες που πρέπει να τηρούνται από τους οργανισμούς πληρωμών ή με βάση κατ’ αποκοπή ποσά ή μη κατ’ αποκοπή ποσά προβλεπόμενα από την τομεακή γεωργική νομοθεσία, την αποτίμηση των ενεργειών που αφορούν τη δημόσια παρέμβαση και τα μέτρα που πρέπει να λαμβάνονται σε περίπτωση απώλειας ή υποβάθμισης των προϊόντων στο πλαίσιο της δημόσιας παρέμβασης, και τον προσδιορισμό των χρηματοδοτούμενων ποσών. Η εν λόγω εξουσιοδότηση θα πρέπει επίσης να καλύπτει παρεκκλίσεις όσον αφορά τη μη επιλεξιμότητα των πληρωμών που πραγματοποιούνται από τους οργανισμούς πληρωμών σε δικαιούχους πριν από την έναρξη ή μετά τη λήξη της προθεσμίας πληρωμής. Επιπλέον, η εν λόγω εξουσιοδότηση θα πρέπει να καλύπτει το ποσοστό της αναστολής των πληρωμών σε σχέση με τις ετήσιες εκκαθαρίσεις, το ποσοστό και τη διάρκεια της αναστολής των πληρωμών και την προϋπόθεση επιστροφής ή μείωσης των εν λόγω ποσών όσον αφορά την πολυετή παρακολούθηση των επιδόσεων. Η εν λόγω εξουσιοδότηση θα πρέπει επίσης να καλύπτει τις παρεμβάσεις ή τα μέτρα για τα οποία τα κράτη μέλη μπορούν να καταβάλλουν προκαταβολές και τους όρους υπό τους οποίους αντισταθμίζονται ορισμένες κατηγορίες δαπανών και εσόδων στο πλαίσιο των ταμείων. Επιπλέον, η εν λόγω εξουσιοδότηση θα πρέπει να καλύπτει τις μεθόδους που εφαρμόζονται στις δεσμεύσεις και την πληρωμή των ποσών εάν ο ενωσιακός προϋπολογισμός δεν έχει εγκριθεί έως την έναρξη του οικονομικού έτους ή εάν το συνολικό ποσό των προγραμματισμένων δεσμεύσεων υπερβαίνει το κατώτατο όριο του άρθρου 170 παράγραφος 3 του δημοσιονομικού κανονισμού.</w:t>
      </w:r>
    </w:p>
    <w:p w:rsidR="00A57BFD" w:rsidRDefault="005B0D19">
      <w:pPr>
        <w:pStyle w:val="Text1"/>
        <w:ind w:left="709"/>
        <w:rPr>
          <w:noProof/>
        </w:rPr>
      </w:pPr>
      <w:r>
        <w:rPr>
          <w:noProof/>
        </w:rPr>
        <w:t xml:space="preserve">Εξάλλου, η εν λόγω εξουσιοδότηση θα πρέπει να καλύπτει τις συγκεκριμένες υποχρεώσεις που πρέπει να τηρούν τα κράτη μέλη όσον αφορά τους ελέγχους και την πρόσβαση στις πληροφορίες και στα έγγραφα, τα κριτήρια για τις αιτιολογήσεις από τα κράτη μέλη και τη μεθοδολογία και τα κριτήρια για την εφαρμογή μειώσεων σε σχέση με την ετήσια εκκαθάριση απόδοσης, καθώς και τα κριτήρια και τη μεθοδολογία για την εφαρμογή των δημοσιονομικών διορθώσεων στο πλαίσιο της διαδικασίας εκκαθάρισης ως προς τη συμμόρφωση. </w:t>
      </w:r>
    </w:p>
    <w:p w:rsidR="00A57BFD" w:rsidRDefault="005B0D19">
      <w:pPr>
        <w:pStyle w:val="Text1"/>
        <w:ind w:left="709"/>
        <w:rPr>
          <w:noProof/>
        </w:rPr>
      </w:pPr>
      <w:r>
        <w:rPr>
          <w:noProof/>
        </w:rPr>
        <w:t>Επίσης, η εν λόγω εξουσιοδότηση θα πρέπει να καλύπτει, όταν το απαιτεί η ορθή διαχείριση του συστήματος, κανόνες σχετικά με πρόσθετες απαιτήσεις όσον αφορά τις τελωνειακές διαδικασίες, και ιδίως τις απαιτήσεις που ορίζονται στον κανονισμό (ΕΕ) αριθ. 952/2013 του Ευρωπαϊκού Κοινοβουλίου και του Συμβουλίου</w:t>
      </w:r>
      <w:r>
        <w:rPr>
          <w:rStyle w:val="af7"/>
          <w:noProof/>
        </w:rPr>
        <w:footnoteReference w:id="26"/>
      </w:r>
      <w:r>
        <w:rPr>
          <w:noProof/>
        </w:rPr>
        <w:t xml:space="preserve">, κανόνες σχετικά με τις εγγυήσεις, τη διασφάλιση μη διακριτικής μεταχείρισης, τον καθορισμό </w:t>
      </w:r>
      <w:r>
        <w:rPr>
          <w:noProof/>
        </w:rPr>
        <w:lastRenderedPageBreak/>
        <w:t xml:space="preserve">υπευθύνου σε περίπτωση μη τήρησης υποχρέωσης, τον καθορισμό συγκεκριμένων περιπτώσεων κατά τις οποίες η αρμόδια αρχή μπορεί να παραιτηθεί από την απαίτηση εγγύησης, τους όρους που ισχύουν για την προς σύσταση εγγύηση και τον εγγυητή, τους όρους σύστασης και αποδέσμευσης της εν λόγω εγγύησης, τους ειδικούς όρους σχετικά με την εγγύηση που έχει συσταθεί σε σχέση με τις προκαταβολές και τον καθορισμό των συνεπειών της παράβασης των υποχρεώσεων για τις οποίες έχει συσταθεί εγγύηση. </w:t>
      </w:r>
    </w:p>
    <w:p w:rsidR="00A57BFD" w:rsidRDefault="005B0D19">
      <w:pPr>
        <w:pStyle w:val="Text1"/>
        <w:ind w:left="709"/>
        <w:rPr>
          <w:noProof/>
        </w:rPr>
      </w:pPr>
      <w:r>
        <w:rPr>
          <w:noProof/>
        </w:rPr>
        <w:t xml:space="preserve">Επιπλέον, όσον αφορά το ολοκληρωμένο σύστημα, η εν λόγω εξουσιοδότηση θα πρέπει να καλύπτει τους κανόνες σχετικά με την αξιολόγηση της ποιότητας του συστήματος αναγνώρισης αγροτεμαχίων, του συστήματος υποβολής γεωχωρικών πληροφοριών και του συστήματος παρακολούθησης εκτάσεων, καθώς και ορισμούς, βασικά χαρακτηριστικά και κανόνες σχετικά με το σύστημα αναγνώρισης αγροτεμαχίων, για το σύστημα προσδιορισμού των δικαιούχων και για το σύστημα προσδιορισμού και καταγραφής των δικαιωμάτων ενίσχυσης. </w:t>
      </w:r>
    </w:p>
    <w:p w:rsidR="00A57BFD" w:rsidRDefault="005B0D19">
      <w:pPr>
        <w:pStyle w:val="Text1"/>
        <w:ind w:left="709"/>
        <w:rPr>
          <w:noProof/>
        </w:rPr>
      </w:pPr>
      <w:r>
        <w:rPr>
          <w:noProof/>
        </w:rPr>
        <w:t>Επιπλέον, η εν λόγω εξουσιοδότηση θα πρέπει να καλύπτει τους κανόνες σχετικά με τις παρεμβάσεις που εξαιρούνται από τον έλεγχο συναλλαγών, τη γενεσιουργό αιτία και τη συναλλαγματική ισοτιμία που πρέπει να εφαρμόζεται από τα κράτη μέλη που δεν χρησιμοποιούν το ευρώ και τη συναλλαγματική ισοτιμία που εφαρμόζεται για την κατάρτιση των δηλώσεων δαπανών και την εγγραφή των πράξεων δημόσιας αποθεματοποίησης στους λογαριασμούς του οργανισμού πληρωμών, τα μέτρα εφαρμογής της ενωσιακής νομοθεσίας όταν νομισματικές πρακτικές εξαιρετικού χαρακτήρα που συνδέονται με το εθνικό νόμισμα θα μπορούσαν να τη θέσουν σε κίνδυνο.</w:t>
      </w:r>
    </w:p>
    <w:p w:rsidR="00A57BFD" w:rsidRDefault="005B0D19">
      <w:pPr>
        <w:pStyle w:val="Text1"/>
        <w:ind w:left="709"/>
        <w:rPr>
          <w:noProof/>
        </w:rPr>
      </w:pPr>
      <w:r>
        <w:rPr>
          <w:noProof/>
        </w:rPr>
        <w:t>Προκειμένου να τροποποιηθούν ορισμένα μη ουσιώδη στοιχεία του παρόντος κανονισμού, θα πρέπει να ανατεθεί στην Επιτροπή εξουσία έκδοσης πράξεων σύμφωνα με το άρθρο 290 της Συνθήκης όσον αφορά το όριο κάτω του οποίου οι επιχειρήσεις θα πρέπει να ελέγχονται μόνο για συγκεκριμένους λόγους.</w:t>
      </w:r>
    </w:p>
    <w:p w:rsidR="00A57BFD" w:rsidRDefault="005B0D19">
      <w:pPr>
        <w:pStyle w:val="ManualConsidrant"/>
        <w:rPr>
          <w:noProof/>
        </w:rPr>
      </w:pPr>
      <w:bookmarkStart w:id="25" w:name="ae88"/>
      <w:r>
        <w:t>(76)</w:t>
      </w:r>
      <w:r>
        <w:tab/>
      </w:r>
      <w:r>
        <w:rPr>
          <w:noProof/>
        </w:rPr>
        <w:t>Προκειμένου να εξασφαλιστούν ενιαίοι όροι εφαρμογής του παρόντος κανονισμού, ενδείκνυται να ανατεθούν εκτελεστικές αρμοδιότητες στην Επιτροπή.</w:t>
      </w:r>
      <w:bookmarkEnd w:id="25"/>
      <w:r>
        <w:rPr>
          <w:noProof/>
        </w:rPr>
        <w:t xml:space="preserve"> Οι εν λόγω αρμοδιότητες θα πρέπει να ασκούνται σύμφωνα με τον κανονισμό (ΕΕ) αριθ. 182/2011 του Ευρωπαϊκού Κοινοβουλίου και του Συμβουλίου</w:t>
      </w:r>
      <w:r>
        <w:rPr>
          <w:rStyle w:val="af7"/>
          <w:noProof/>
        </w:rPr>
        <w:footnoteReference w:id="27"/>
      </w:r>
      <w:r>
        <w:rPr>
          <w:noProof/>
        </w:rPr>
        <w:t>. Οι εν λόγω αρμοδιότητες θα πρέπει να αφορούν τους κανόνες σχετικά με: τις διαδικασίες για την έκδοση, ανάκληση και αναθεώρηση της διαπίστευσης οργανισμών πληρωμών και οργανισμών συντονισμού, καθώς και για την εποπτεία της διαπίστευσης οργανισμών πληρωμών· τις εργασίες και τους ελέγχους στους οποίους βασίζεται η διαχειριστική δήλωση των οργανισμών πληρωμών· τη λειτουργία του οργανισμού συντονισμού και την κοινοποίηση πληροφοριών στην Επιτροπή από τον εν λόγω οργανισμό συντονισμού</w:t>
      </w:r>
      <w:r>
        <w:rPr>
          <w:i/>
          <w:noProof/>
        </w:rPr>
        <w:t>,</w:t>
      </w:r>
      <w:r>
        <w:rPr>
          <w:noProof/>
        </w:rPr>
        <w:t xml:space="preserve"> τους κανόνες σχετικά με τα καθήκοντα των οργανισμών πιστοποίησης, συμπεριλαμβανομένων των ελέγχων και των οργανισμών που υπόκεινται στους εν λόγω ελέγχους, καθώς και τα πιστοποιητικά, τις εκθέσεις και τα συνοδευτικά έγγραφα που πρέπει να συντάσσουν οι οργανισμοί αυτοί. </w:t>
      </w:r>
    </w:p>
    <w:p w:rsidR="00A57BFD" w:rsidRDefault="005B0D19">
      <w:pPr>
        <w:pStyle w:val="ManualConsidrant"/>
        <w:rPr>
          <w:noProof/>
        </w:rPr>
      </w:pPr>
      <w:r>
        <w:t>(77)</w:t>
      </w:r>
      <w:r>
        <w:tab/>
      </w:r>
      <w:r>
        <w:rPr>
          <w:noProof/>
        </w:rPr>
        <w:t xml:space="preserve">Επίσης, οι εκτελεστικές αρμοδιότητες της Επιτροπής θα πρέπει να καλύπτουν: τις αρχές που διέπουν τους λογιστικούς ελέγχους στις οποίες βασίζονται οι </w:t>
      </w:r>
      <w:r>
        <w:rPr>
          <w:noProof/>
        </w:rPr>
        <w:lastRenderedPageBreak/>
        <w:t>γνωμοδοτήσεις των οργανισμών πιστοποίησης, περιλαμβανομένης της αξιολόγησης των κινδύνων, των εσωτερικών ελέγχων και του απαιτούμενου επιπέδου αποδεικτικών στοιχείων για τους λογιστικούς ελέγχους, τις μεθόδους λογιστικού ελέγχου που πρέπει να χρησιμοποιούν οι οργανισμοί πιστοποίησης, λαμβανομένων υπόψη των διεθνών προτύπων περί λογιστικών ελέγχων, για την έκδοση των γνωμοδοτήσεών τους.</w:t>
      </w:r>
    </w:p>
    <w:p w:rsidR="00A57BFD" w:rsidRDefault="005B0D19">
      <w:pPr>
        <w:pStyle w:val="ManualConsidrant"/>
        <w:rPr>
          <w:noProof/>
        </w:rPr>
      </w:pPr>
      <w:r>
        <w:t>(78)</w:t>
      </w:r>
      <w:r>
        <w:tab/>
      </w:r>
      <w:r>
        <w:rPr>
          <w:noProof/>
        </w:rPr>
        <w:t>Επίσης, οι εκτελεστικές αρμοδιότητες της Επιτροπής θα πρέπει να καλύπτουν: τον καθορισμό των ποσών για τη χρηματοδότηση μέτρων δημόσιας παρέμβασης</w:t>
      </w:r>
      <w:r>
        <w:rPr>
          <w:i/>
          <w:noProof/>
        </w:rPr>
        <w:t>,</w:t>
      </w:r>
      <w:r>
        <w:rPr>
          <w:noProof/>
        </w:rPr>
        <w:t xml:space="preserve"> τους κανόνες για τη χρηματοδότηση της απόκτησης από την Επιτροπή των δορυφορικών δεδομένων που απαιτούνται για το σύστημα παρακολούθησης εκτάσεων και τα μέτρα που λαμβάνει η Επιτροπή μέσω εφαρμογών τηλεπισκόπησης χρησιμοποιούμενων για το σύστημα παρακολούθησης εκτάσεων</w:t>
      </w:r>
      <w:r>
        <w:rPr>
          <w:i/>
          <w:noProof/>
        </w:rPr>
        <w:t>,</w:t>
      </w:r>
      <w:r>
        <w:rPr>
          <w:noProof/>
        </w:rPr>
        <w:t xml:space="preserve"> τη διαδικασία για την απόκτηση των εν λόγω δορυφορικών δεδομένων από την Επιτροπή και για το σύστημα παρακολούθησης εκτάσεων, το πλαίσιο που διέπει την απόκτηση, τη βελτίωση και τη χρησιμοποίηση των δορυφορικών εικόνων και των μετεωρολογικών δεδομένων και τις εφαρμοστέες προθεσμίες.</w:t>
      </w:r>
    </w:p>
    <w:p w:rsidR="00A57BFD" w:rsidRDefault="005B0D19">
      <w:pPr>
        <w:pStyle w:val="ManualConsidrant"/>
        <w:rPr>
          <w:noProof/>
        </w:rPr>
      </w:pPr>
      <w:r>
        <w:t>(79)</w:t>
      </w:r>
      <w:r>
        <w:tab/>
      </w:r>
      <w:r>
        <w:rPr>
          <w:noProof/>
        </w:rPr>
        <w:t xml:space="preserve">Επίσης, οι εκτελεστικές αρμοδιότητες της Επιτροπής θα πρέπει να καλύπτουν: στο πλαίσιο της διαδικασίας δημοσιονομικής πειθαρχίας, τον καθορισμό του ποσοστού προσαρμογής των παρεμβάσεων άμεσων ενισχύσεων καθώς και την αναπροσαρμογή του, και τους όρους και τις προϋποθέσεις που εφαρμόζονται στις πιστώσεις που μεταφέρονται σύμφωνα με το άρθρο 12 παράγραφος 2 στοιχείο δ) του κανονισμού (ΕΕ, Ευρατόμ) αριθ. [νέος δημοσιονομικός κανονισμός] για τη χρηματοδότηση των παρεμβάσεων άμεσων ενισχύσεων· στο πλαίσιο της διαδικασίας δημοσιονομικής πειθαρχίας, τον προσωρινό καθορισμό του ύψους των πληρωμών και την προσωρινή κατανομή του διαθέσιμου προϋπολογισμού μεταξύ των κρατών μελών και τον καθορισμό των μηνιαίων πληρωμών που εκτελεί η Επιτροπή με βάση τις δηλώσεις δαπανών.  </w:t>
      </w:r>
    </w:p>
    <w:p w:rsidR="00A57BFD" w:rsidRDefault="005B0D19">
      <w:pPr>
        <w:pStyle w:val="ManualConsidrant"/>
        <w:rPr>
          <w:noProof/>
        </w:rPr>
      </w:pPr>
      <w:r>
        <w:t>(80)</w:t>
      </w:r>
      <w:r>
        <w:tab/>
      </w:r>
      <w:r>
        <w:rPr>
          <w:noProof/>
        </w:rPr>
        <w:t xml:space="preserve">Επίσης, οι εκτελεστικές αρμοδιότητες της Επιτροπής θα πρέπει να καλύπτουν: τον καθορισμό της προθεσμίας εντός της οποίας οι διαπιστευμένοι οργανισμοί πληρωμών πρέπει να καταρτίζουν και να διαβιβάζουν στην Επιτροπή τις ενδιάμεσες δηλώσεις δαπανών που συνδέονται με τις παρεμβάσεις αγροτικής ανάπτυξης, καθώς και κανόνες για τη διαδικασία και άλλες πρακτικές λεπτομέρειες για την ομαλή λειτουργία του μηχανισμού για τις προθεσμίες πληρωμής· τη μείωση και την αναστολή των μηνιαίων ή ενδιάμεσων πληρωμών στα κράτη μέλη, καθώς και κανόνες για τα στοιχεία των σχεδίων δράσης και τη διαδικασία κατάρτισής τους. Θα πρέπει επίσης να καλύπτουν τους κανόνες που είναι απαραίτητοι και δικαιολογημένοι σε περιπτώσεις έκτακτης ανάγκης για την επίλυση ειδικών προβλημάτων που αφορούν τις προθεσμίες πληρωμών και την πληρωμή προκαταβολών, τις λεπτομέρειες για την τήρηση χωριστών λογαριασμών από τους οργανισμούς πληρωμών· τους ειδικούς όρους που εφαρμόζονται στα στοιχεία που πρέπει να καταχωρίζονται στους λογαριασμούς από τους οργανισμούς πληρωμών· κανόνες για τη χρηματοδότηση και το λογιστικό πλαίσιο των μέτρων παρέμβασης υπό μορφή δημόσιας αποθεματοποίησης και τις λοιπές δαπάνες που χρηματοδοτούνται από τα ταμεία, τους όρους και τις προϋποθέσεις εκτέλεσης της διαδικασίας αυτόματης αποδέσμευσης. </w:t>
      </w:r>
    </w:p>
    <w:p w:rsidR="00A57BFD" w:rsidRDefault="005B0D19">
      <w:pPr>
        <w:pStyle w:val="ManualConsidrant"/>
        <w:rPr>
          <w:noProof/>
        </w:rPr>
      </w:pPr>
      <w:r>
        <w:t>(81)</w:t>
      </w:r>
      <w:r>
        <w:tab/>
      </w:r>
      <w:r>
        <w:rPr>
          <w:noProof/>
        </w:rPr>
        <w:t>Επίσης, οι εκτελεστικές αρμοδιότητες της Επιτροπής θα πρέπει να καλύπτουν: τις διαδικασίες σχετικά με τις υποχρεώσεις συνεργασίας των κρατών μελών όσον αφορά τους ελέγχους που διενεργούνται από την Επιτροπή και την πρόσβαση στις πληροφορίες· τους όρους για τη φύλαξη των δικαιολογητικών εγγράφων των πραγματοποιούμενων πληρωμών</w:t>
      </w:r>
      <w:r>
        <w:rPr>
          <w:i/>
          <w:noProof/>
        </w:rPr>
        <w:t xml:space="preserve">, </w:t>
      </w:r>
      <w:r>
        <w:rPr>
          <w:noProof/>
        </w:rPr>
        <w:t xml:space="preserve">την ετήσια χρηματοοικονομική εκκαθάριση, συμπεριλαμβανομένων των μέτρων που πρέπει να ληφθούν σε σχέση με την έγκριση </w:t>
      </w:r>
      <w:r>
        <w:rPr>
          <w:noProof/>
        </w:rPr>
        <w:lastRenderedPageBreak/>
        <w:t>και την εφαρμογή των εν λόγω εκτελεστικών πράξεων, την ετήσια εκκαθάριση απόδοσης, συμπεριλαμβανομένων των μέτρων που πρέπει να ληφθούν σε σχέση με την έγκριση και την εφαρμογή των εν λόγω εκτελεστικών πράξεων και την ανταλλαγή πληροφοριών μεταξύ της Επιτροπής και των κρατών μελών, τις διαδικασίες και τις προθεσμίες που πρέπει να τηρούνται, τη διαδικασία εκκαθάρισης ως προς τη συμμόρφωση, συμπεριλαμβανομένων των μέτρων που πρέπει να ληφθούν κατά την έγκριση και την εφαρμογή των εν λόγω εκτελεστικών πράξεων, την ανταλλαγή πληροφοριών μεταξύ της Επιτροπής και των κρατών μελών, τις προθεσμίες που πρέπει να τηρούνται και τους κανόνες σχετικά με τη διαδικασία συμβιβασμού, τον αποκλεισμό από την ενωσιακή χρηματοδότηση των ποσών που χρεώνονται στον προϋπολογισμό της Ένωσης</w:t>
      </w:r>
      <w:r>
        <w:rPr>
          <w:i/>
          <w:noProof/>
        </w:rPr>
        <w:t xml:space="preserve"> </w:t>
      </w:r>
      <w:r>
        <w:rPr>
          <w:noProof/>
        </w:rPr>
        <w:t>και τους τρόπους διαβίβασης και κοινοποίησης στοιχείων στην Επιτροπή από τα κράτη μέλη σχετικά με ανακτήσεις για λόγους μη συμμόρφωσης.</w:t>
      </w:r>
    </w:p>
    <w:p w:rsidR="00A57BFD" w:rsidRDefault="005B0D19">
      <w:pPr>
        <w:pStyle w:val="ManualConsidrant"/>
        <w:rPr>
          <w:noProof/>
        </w:rPr>
      </w:pPr>
      <w:r>
        <w:t>(82)</w:t>
      </w:r>
      <w:r>
        <w:tab/>
      </w:r>
      <w:r>
        <w:rPr>
          <w:noProof/>
        </w:rPr>
        <w:t>Επίσης, οι εκτελεστικές αρμοδιότητες της Επιτροπής θα πρέπει να καλύπτουν: κανόνες ενιαίας εφαρμογής των υποχρεώσεων των κρατών μελών όσον αφορά την προστασία των οικονομικών συμφερόντων της Ένωσης, τις διατάξεις που είναι απαραίτητες για την ενιαία εφαρμογή των ελέγχων στην Ένωση.</w:t>
      </w:r>
      <w:r>
        <w:rPr>
          <w:i/>
          <w:noProof/>
        </w:rPr>
        <w:t xml:space="preserve"> </w:t>
      </w:r>
      <w:r>
        <w:rPr>
          <w:noProof/>
        </w:rPr>
        <w:t xml:space="preserve"> </w:t>
      </w:r>
    </w:p>
    <w:p w:rsidR="00A57BFD" w:rsidRDefault="005B0D19">
      <w:pPr>
        <w:pStyle w:val="ManualConsidrant"/>
        <w:rPr>
          <w:noProof/>
        </w:rPr>
      </w:pPr>
      <w:r>
        <w:t>(83)</w:t>
      </w:r>
      <w:r>
        <w:tab/>
      </w:r>
      <w:r>
        <w:rPr>
          <w:noProof/>
        </w:rPr>
        <w:t>Επίσης, οι εκτελεστικές αρμοδιότητες της Επιτροπής θα πρέπει να καλύπτουν: Ομοίως, οι εκτελεστικές αρμοδιότητες της Επιτροπής θα πρέπει να καλύπτουν: τη μορφή των εγγυήσεων που πρέπει να συνιστώνται και τη διαδικασία σύστασης εγγυήσεων, αποδοχής εγγυήσεων και αντικατάστασης αρχικών εγγυήσεων· τις διαδικασίες για την αποδέσμευση εγγυήσεων και τις κοινοποιήσεις από κράτη μέλη ή την Επιτροπή στο πλαίσιο των εγγυήσεων.</w:t>
      </w:r>
    </w:p>
    <w:p w:rsidR="00A57BFD" w:rsidRDefault="005B0D19">
      <w:pPr>
        <w:pStyle w:val="ManualConsidrant"/>
        <w:rPr>
          <w:noProof/>
        </w:rPr>
      </w:pPr>
      <w:r>
        <w:t>(84)</w:t>
      </w:r>
      <w:r>
        <w:tab/>
      </w:r>
      <w:r>
        <w:rPr>
          <w:noProof/>
        </w:rPr>
        <w:t>Επίσης, οι εκτελεστικές αρμοδιότητες της Επιτροπής θα πρέπει να καλύπτουν: τους κανόνες σχετικά με τη μορφή, το περιεχόμενο και τις ρυθμίσεις για τη διαβίβαση ή τη διάθεση στην Επιτροπή των εκθέσεων αξιολόγησης της ποιότητας του συστήματος αναγνώρισης αγροτεμαχίων, του συστήματος υποβολής αιτήσεων γεωχωρικών πληροφοριών και του συστήματος παρακολούθησης εκτάσεων, καθώς και των διορθωτικών ενεργειών που πρόκειται να πραγματοποιηθούν από τα κράτη μέλη όσον αφορά τις ελλείψεις που προκύπτουν στα εν λόγω συστήματα</w:t>
      </w:r>
      <w:r>
        <w:rPr>
          <w:i/>
          <w:noProof/>
        </w:rPr>
        <w:t xml:space="preserve"> </w:t>
      </w:r>
      <w:r>
        <w:rPr>
          <w:noProof/>
        </w:rPr>
        <w:t>και τα</w:t>
      </w:r>
      <w:r>
        <w:rPr>
          <w:i/>
          <w:noProof/>
        </w:rPr>
        <w:t xml:space="preserve"> </w:t>
      </w:r>
      <w:r>
        <w:rPr>
          <w:noProof/>
        </w:rPr>
        <w:t>βασικά χαρακτηριστικά και τους κανόνες σχετικά με το σύστημα υποβολής αιτήσεων γεωχωρικών πληροφοριών και το σύστημα παρακολούθησης εκτάσεων</w:t>
      </w:r>
      <w:r>
        <w:rPr>
          <w:i/>
          <w:noProof/>
        </w:rPr>
        <w:t>.</w:t>
      </w:r>
      <w:r>
        <w:rPr>
          <w:noProof/>
        </w:rPr>
        <w:t xml:space="preserve"> </w:t>
      </w:r>
    </w:p>
    <w:p w:rsidR="00A57BFD" w:rsidRDefault="005B0D19">
      <w:pPr>
        <w:pStyle w:val="ManualConsidrant"/>
        <w:rPr>
          <w:noProof/>
        </w:rPr>
      </w:pPr>
      <w:r>
        <w:t>(85)</w:t>
      </w:r>
      <w:r>
        <w:tab/>
      </w:r>
      <w:r>
        <w:rPr>
          <w:noProof/>
        </w:rPr>
        <w:t>Οι εκτελεστικές αρμοδιότητες της Επιτροπής θα πρέπει επίσης να καλύπτουν κανόνες που στοχεύουν στη διασφάλιση της ενιαίας εφαρμογής των κανόνων για τον έλεγχο των εμπορικών εγγράφων</w:t>
      </w:r>
      <w:r>
        <w:rPr>
          <w:i/>
          <w:noProof/>
        </w:rPr>
        <w:t>.</w:t>
      </w:r>
      <w:r>
        <w:rPr>
          <w:noProof/>
        </w:rPr>
        <w:t xml:space="preserve"> Θα πρέπει επίσης να καλύπτουν κανόνες για την κοινοποίηση πληροφοριών από τα κράτη μέλη στην Επιτροπή και μέτρα για τη διασφάλιση της εφαρμογής της ενωσιακής νομοθεσίας εάν νομισματικές πρακτικές εξαιρετικού χαρακτήρα που συνδέονται με το εθνικό νόμισμα θα μπορούσαν να τη θέσουν σε κίνδυνο.</w:t>
      </w:r>
    </w:p>
    <w:p w:rsidR="00A57BFD" w:rsidRDefault="005B0D19">
      <w:pPr>
        <w:pStyle w:val="ManualConsidrant"/>
        <w:rPr>
          <w:noProof/>
        </w:rPr>
      </w:pPr>
      <w:r>
        <w:t>(86)</w:t>
      </w:r>
      <w:r>
        <w:tab/>
      </w:r>
      <w:r>
        <w:rPr>
          <w:noProof/>
        </w:rPr>
        <w:t xml:space="preserve">Επιπλέον, οι εκτελεστικές αρμοδιότητες της Επιτροπής θα πρέπει να καλύπτουν κανόνες σχετικά με τη μορφή και το χρονοδιάγραμμα της δημοσιοποίησης των δικαιούχων των ταμείων, την ενιαία εφαρμογή της υποχρέωσης ενημέρωσης των δικαιούχων για το γεγονός ότι τα δεδομένα τους θα δημοσιοποιηθούν, και τη συνεργασία μεταξύ της Επιτροπής και των κρατών μελών στο πλαίσιο της δημοσιοποίησης των δικαιούχων των ταμείων. </w:t>
      </w:r>
    </w:p>
    <w:p w:rsidR="00A57BFD" w:rsidRDefault="005B0D19">
      <w:pPr>
        <w:pStyle w:val="ManualConsidrant"/>
        <w:rPr>
          <w:noProof/>
        </w:rPr>
      </w:pPr>
      <w:bookmarkStart w:id="26" w:name="ae100"/>
      <w:r>
        <w:t>(87)</w:t>
      </w:r>
      <w:r>
        <w:tab/>
      </w:r>
      <w:r>
        <w:rPr>
          <w:noProof/>
        </w:rPr>
        <w:tab/>
        <w:t xml:space="preserve">Για την έκδοση ορισμένων εκτελεστικών πράξεων θα πρέπει να χρησιμοποιείται η συμβουλευτική διαδικασία. Όσον αφορά τις εκτελεστικές πράξεις που περιλαμβάνουν υπολογισμούς ποσών από την Επιτροπή, η συμβουλευτική διαδικασία επιτρέπει στην </w:t>
      </w:r>
      <w:r>
        <w:rPr>
          <w:noProof/>
        </w:rPr>
        <w:lastRenderedPageBreak/>
        <w:t>Επιτροπή να ανταποκριθεί πλήρως στην ευθύνη της για τη διαχείριση του προϋπολογισμού και έχει ως στόχο αυξημένη αποτελεσματικότητα, προβλεψιμότητα και ταχύτητα, λαμβανομένων υπόψη των προθεσμιών και των δημοσιονομικών διαδικασιών. Όσον αφορά τις εκτελεστικές πράξεις στο πλαίσιο των πληρωμών που καταβάλλονται στα κράτη μέλη και τη διαδικασία εκκαθάρισης λογαριασμών και την ετήσια εκκαθάριση απόδοσης, η συμβουλευτική διαδικασία επιτρέπει στην Επιτροπή να ανταποκριθεί πλήρως στην ευθύνη της για τη διαχείριση του προϋπολογισμού και τον έλεγχο των ετήσιων λογαριασμών των εθνικών οργανισμών πληρωμών, με στόχο την έγκριση των λογαριασμών αυτών ή, στην περίπτωση δαπανών που δεν πραγματοποιούνται σύμφωνα με τους ενωσιακούς κανόνες, τον αποκλεισμό των δαπανών αυτών από την ενωσιακή χρηματοδότηση. Για την έκδοση των άλλων εκτελεστικών πράξεων θα πρέπει να χρησιμοποιείται η συμβουλευτική διαδικασία</w:t>
      </w:r>
      <w:r>
        <w:rPr>
          <w:i/>
          <w:noProof/>
        </w:rPr>
        <w:t>.</w:t>
      </w:r>
      <w:r>
        <w:rPr>
          <w:noProof/>
        </w:rPr>
        <w:t xml:space="preserve"> </w:t>
      </w:r>
      <w:bookmarkEnd w:id="26"/>
    </w:p>
    <w:p w:rsidR="00A57BFD" w:rsidRDefault="005B0D19">
      <w:pPr>
        <w:pStyle w:val="ManualConsidrant"/>
        <w:rPr>
          <w:noProof/>
        </w:rPr>
      </w:pPr>
      <w:bookmarkStart w:id="27" w:name="ae101"/>
      <w:r>
        <w:t>(88)</w:t>
      </w:r>
      <w:r>
        <w:tab/>
      </w:r>
      <w:r>
        <w:rPr>
          <w:noProof/>
        </w:rPr>
        <w:tab/>
        <w:t xml:space="preserve">Θα πρέπει να ανατεθεί στην Επιτροπή η αρμοδιότητα έκδοσης εκτελεστικών πράξεων χωρίς εφαρμογή του κανονισμού (ΕΕ) αριθ. 182/2011 όσον αφορά τον καθορισμό του καθαρού υπολοίπου που διατίθεται για τις δαπάνες του ΕΓΤΕ, τον καθορισμό των μηνιαίων πληρωμών που θα πρέπει να πραγματοποιεί βάσει της δήλωσης δαπανών από τα κράτη μέλη και την εκτέλεση συμπληρωματικών πληρωμών ή μειωμένων πληρωμών στο πλαίσιο της διαδικασίας εκτέλεσης των μηνιαίων πληρωμών. </w:t>
      </w:r>
      <w:bookmarkEnd w:id="27"/>
    </w:p>
    <w:p w:rsidR="00A57BFD" w:rsidRDefault="005B0D19">
      <w:pPr>
        <w:pStyle w:val="ManualConsidrant"/>
        <w:rPr>
          <w:noProof/>
        </w:rPr>
      </w:pPr>
      <w:r>
        <w:t>(89)</w:t>
      </w:r>
      <w:r>
        <w:tab/>
      </w:r>
      <w:r>
        <w:rPr>
          <w:noProof/>
        </w:rPr>
        <w:t xml:space="preserve">Συνεπώς, ο κανονισμός (ΕΕ) αριθ. 1306/2013 πρέπει να καταργηθεί. </w:t>
      </w:r>
    </w:p>
    <w:p w:rsidR="00A57BFD" w:rsidRDefault="005B0D19">
      <w:pPr>
        <w:pStyle w:val="ManualConsidrant"/>
        <w:rPr>
          <w:noProof/>
        </w:rPr>
      </w:pPr>
      <w:r>
        <w:t>(90)</w:t>
      </w:r>
      <w:r>
        <w:tab/>
      </w:r>
      <w:r>
        <w:rPr>
          <w:noProof/>
        </w:rPr>
        <w:t xml:space="preserve">Για να διευκολυνθεί η ομαλή μετάβαση μεταξύ των κανόνων που θεσπίζονται με τον κανονισμό (ΕΕ) αριθ. 1306/2013 και εκείνων που θεσπίζονται με τον παρόντα κανονισμό, η εξουσία έκδοσης πράξεων σύμφωνα με το άρθρο 290 της Συνθήκης θα πρέπει να ανατεθεί στην Επιτροπή όσον αφορά τη θέσπιση μεταβατικών διατάξεων. </w:t>
      </w:r>
    </w:p>
    <w:p w:rsidR="00A57BFD" w:rsidRDefault="005B0D19">
      <w:pPr>
        <w:pStyle w:val="ManualConsidrant"/>
        <w:rPr>
          <w:noProof/>
        </w:rPr>
      </w:pPr>
      <w:r>
        <w:t>(91)</w:t>
      </w:r>
      <w:r>
        <w:tab/>
      </w:r>
      <w:r>
        <w:rPr>
          <w:noProof/>
        </w:rPr>
        <w:t>Ζητήθηκε η γνώμη του Ευρωπαίου Επόπτη Προστασίας Δεδομένων, ο οποίος εξέδωσε γνωμοδότηση</w:t>
      </w:r>
      <w:r>
        <w:rPr>
          <w:rStyle w:val="af7"/>
          <w:noProof/>
        </w:rPr>
        <w:footnoteReference w:id="28"/>
      </w:r>
      <w:r>
        <w:rPr>
          <w:noProof/>
        </w:rPr>
        <w:t>.</w:t>
      </w:r>
    </w:p>
    <w:p w:rsidR="00A57BFD" w:rsidRDefault="005B0D19">
      <w:pPr>
        <w:pStyle w:val="ManualConsidrant"/>
        <w:rPr>
          <w:noProof/>
        </w:rPr>
      </w:pPr>
      <w:bookmarkStart w:id="28" w:name="ae106"/>
      <w:r>
        <w:t>(92)</w:t>
      </w:r>
      <w:r>
        <w:tab/>
      </w:r>
      <w:r>
        <w:rPr>
          <w:noProof/>
        </w:rPr>
        <w:t>Επειδή οι στόχοι του παρόντος κανονισμού δεν μπορούν να επιτευχθούν επαρκώς από τα κράτη μέλη, δεδομένων των δεσμών που υπάρχουν μεταξύ αυτού και των άλλων μέσων της ΚΓΠ και των περιορισμών ως προς τους δημοσιονομικούς πόρους των κρατών μελών, μπορούν όμως να υλοποιηθούν καλύτερα σε ενωσιακό επίπεδο λόγω των πολυετών εγγυήσεων της ενωσιακής χρηματοδότησης και με επικέντρωση στις προτεραιότητές της, η Ένωση μπορεί να λάβει μέτρα σύμφωνα με την αρχή της επικουρικότητας του άρθρου 5 της Συνθήκης για την Ευρωπαϊκή Ένωση. Σύμφωνα με την αρχή της αναλογικότητας, όπως ορίζεται στο εν λόγω άρθρο, ο παρών κανονισμός δεν υπερβαίνει τα αναγκαία για την επίτευξη των συγκεκριμένων στόχων,</w:t>
      </w:r>
      <w:bookmarkEnd w:id="28"/>
    </w:p>
    <w:p w:rsidR="00A57BFD" w:rsidRDefault="005B0D19">
      <w:pPr>
        <w:pStyle w:val="ManualConsidrant"/>
        <w:rPr>
          <w:noProof/>
        </w:rPr>
      </w:pPr>
      <w:r>
        <w:rPr>
          <w:noProof/>
        </w:rPr>
        <w:t xml:space="preserve"> </w:t>
      </w:r>
    </w:p>
    <w:p w:rsidR="00A57BFD" w:rsidRDefault="005B0D19">
      <w:pPr>
        <w:pStyle w:val="Formuledadoption"/>
        <w:rPr>
          <w:noProof/>
        </w:rPr>
      </w:pPr>
      <w:r>
        <w:rPr>
          <w:noProof/>
        </w:rPr>
        <w:t>ΕΞΕΔΩΣΑΝ ΤΟΝ ΠΑΡΟΝΤΑ ΚΑΝΟΝΙΣΜΟ:</w:t>
      </w:r>
    </w:p>
    <w:p w:rsidR="00A57BFD" w:rsidRDefault="005B0D19">
      <w:pPr>
        <w:pStyle w:val="PartTitle"/>
        <w:rPr>
          <w:noProof/>
        </w:rPr>
      </w:pPr>
      <w:r>
        <w:rPr>
          <w:noProof/>
        </w:rPr>
        <w:lastRenderedPageBreak/>
        <w:t>Τίτλος Ι</w:t>
      </w:r>
      <w:r>
        <w:rPr>
          <w:noProof/>
        </w:rPr>
        <w:br/>
        <w:t>Πεδίο εφαρμογής και ορισμοί</w:t>
      </w:r>
    </w:p>
    <w:p w:rsidR="00A57BFD" w:rsidRDefault="005B0D19">
      <w:pPr>
        <w:pStyle w:val="Titrearticle1"/>
        <w:rPr>
          <w:b/>
          <w:noProof/>
        </w:rPr>
      </w:pPr>
      <w:r>
        <w:rPr>
          <w:noProof/>
        </w:rPr>
        <w:t>Άρθρο 1</w:t>
      </w:r>
      <w:r>
        <w:rPr>
          <w:noProof/>
        </w:rPr>
        <w:br/>
      </w:r>
      <w:r>
        <w:rPr>
          <w:b/>
          <w:noProof/>
        </w:rPr>
        <w:t>Πεδίο εφαρμογής</w:t>
      </w:r>
    </w:p>
    <w:p w:rsidR="00A57BFD" w:rsidRDefault="005B0D19">
      <w:pPr>
        <w:rPr>
          <w:noProof/>
        </w:rPr>
      </w:pPr>
      <w:r>
        <w:rPr>
          <w:noProof/>
        </w:rPr>
        <w:t>Ο παρών κανονισμός θεσπίζει κανόνες ιδίως σχετικά με:</w:t>
      </w:r>
    </w:p>
    <w:p w:rsidR="00A57BFD" w:rsidRDefault="005B0D19">
      <w:pPr>
        <w:pStyle w:val="Point0"/>
        <w:rPr>
          <w:noProof/>
        </w:rPr>
      </w:pPr>
      <w:r>
        <w:rPr>
          <w:noProof/>
        </w:rPr>
        <w:t>α)</w:t>
      </w:r>
      <w:r>
        <w:rPr>
          <w:noProof/>
        </w:rPr>
        <w:tab/>
        <w:t>τη χρηματοδότηση των δαπανών στο πλαίσιο της κοινής γεωργικής πολιτικής (ΚΓΠ), συμπεριλαμβανομένων των δαπανών για την αγροτική ανάπτυξη·</w:t>
      </w:r>
    </w:p>
    <w:p w:rsidR="00A57BFD" w:rsidRDefault="005B0D19">
      <w:pPr>
        <w:pStyle w:val="Point0"/>
        <w:rPr>
          <w:noProof/>
        </w:rPr>
      </w:pPr>
      <w:r>
        <w:rPr>
          <w:noProof/>
        </w:rPr>
        <w:t>β)</w:t>
      </w:r>
      <w:r>
        <w:rPr>
          <w:noProof/>
        </w:rPr>
        <w:tab/>
        <w:t>τα συστήματα διαχείρισης και ελέγχου που πρέπει να τεθούν σε εφαρμογή από τα κράτη μέλη·</w:t>
      </w:r>
    </w:p>
    <w:p w:rsidR="00A57BFD" w:rsidRDefault="005B0D19">
      <w:pPr>
        <w:pStyle w:val="Point0"/>
        <w:rPr>
          <w:noProof/>
        </w:rPr>
      </w:pPr>
      <w:r>
        <w:rPr>
          <w:noProof/>
        </w:rPr>
        <w:t>γ)</w:t>
      </w:r>
      <w:r>
        <w:rPr>
          <w:noProof/>
        </w:rPr>
        <w:tab/>
        <w:t>τις διαδικασίες εκκαθάρισης ως προς τη συμμόρφωση.</w:t>
      </w:r>
    </w:p>
    <w:p w:rsidR="00A57BFD" w:rsidRDefault="005B0D19">
      <w:pPr>
        <w:pStyle w:val="Titrearticle1"/>
        <w:rPr>
          <w:noProof/>
        </w:rPr>
      </w:pPr>
      <w:r>
        <w:rPr>
          <w:noProof/>
        </w:rPr>
        <w:t>Άρθρο 2</w:t>
      </w:r>
      <w:r>
        <w:rPr>
          <w:noProof/>
        </w:rPr>
        <w:br/>
      </w:r>
      <w:r>
        <w:rPr>
          <w:b/>
          <w:noProof/>
        </w:rPr>
        <w:t>Ορισμοί</w:t>
      </w:r>
    </w:p>
    <w:p w:rsidR="00A57BFD" w:rsidRDefault="005B0D19">
      <w:pPr>
        <w:pStyle w:val="NumPar10"/>
        <w:rPr>
          <w:noProof/>
        </w:rPr>
      </w:pPr>
      <w:r>
        <w:rPr>
          <w:noProof/>
        </w:rPr>
        <w:t>Για τους σκοπούς του παρόντος κανονισμού, ισχύουν οι ακόλουθοι ορισμοί:</w:t>
      </w:r>
    </w:p>
    <w:p w:rsidR="00A57BFD" w:rsidRDefault="005B0D19">
      <w:pPr>
        <w:pStyle w:val="Point0"/>
        <w:rPr>
          <w:noProof/>
        </w:rPr>
      </w:pPr>
      <w:r>
        <w:rPr>
          <w:noProof/>
        </w:rPr>
        <w:t>α)</w:t>
      </w:r>
      <w:r>
        <w:rPr>
          <w:noProof/>
        </w:rPr>
        <w:tab/>
        <w:t>«παρατυπία»: η οριζόμενη στο άρθρο 1 παράγραφος 2 του κανονισμού (ΕΚ, Ευρατόμ) αριθ. 2988/95 του Συμβουλίου·</w:t>
      </w:r>
    </w:p>
    <w:p w:rsidR="00A57BFD" w:rsidRDefault="005B0D19">
      <w:pPr>
        <w:pStyle w:val="Point0"/>
        <w:rPr>
          <w:noProof/>
        </w:rPr>
      </w:pPr>
      <w:r>
        <w:rPr>
          <w:noProof/>
        </w:rPr>
        <w:t>β)</w:t>
      </w:r>
      <w:r>
        <w:rPr>
          <w:noProof/>
        </w:rPr>
        <w:tab/>
        <w:t>«συστήματα διακυβέρνησης»: τα όργανα διακυβέρνησης που αναφέρονται στον τίτλο II κεφάλαιο II του παρόντος κανονισμού, και οι βασικές απαιτήσεις της Ένωσης</w:t>
      </w:r>
      <w:r>
        <w:rPr>
          <w:i/>
          <w:noProof/>
        </w:rPr>
        <w:t xml:space="preserve"> </w:t>
      </w:r>
      <w:r>
        <w:rPr>
          <w:noProof/>
        </w:rPr>
        <w:t>που ορίζονται στον παρόντα κανονισμό και τον κανονισμό (ΕΕ) …/… [κανονισμός για το στρατηγικό σχέδιο της ΚΓΠ], συμπεριλαμβανομένου του συστήματος υποβολής εκθέσεων που έχει θεσπιστεί για τους σκοπούς της ετήσιας έκθεσης επιδόσεων που αναφέρεται στο άρθρο 121 του κανονισμού (ΕΕ) …/… [κανονισμός για το στρατηγικό σχέδιο της ΚΓΠ]·</w:t>
      </w:r>
    </w:p>
    <w:p w:rsidR="00A57BFD" w:rsidRDefault="005B0D19">
      <w:pPr>
        <w:pStyle w:val="Point0"/>
        <w:rPr>
          <w:noProof/>
        </w:rPr>
      </w:pPr>
      <w:r>
        <w:rPr>
          <w:noProof/>
        </w:rPr>
        <w:t>γ)</w:t>
      </w:r>
      <w:r>
        <w:rPr>
          <w:noProof/>
        </w:rPr>
        <w:tab/>
        <w:t>«βασικές απαιτήσεις της Ένωσης»: οι απαιτήσεις που ορίζονται στον κανονισμό (ΕΕ) …/… [κανονισμός για το στρατηγικό σχέδιο της ΚΓΠ] και στον παρόντα κανονισμό.</w:t>
      </w:r>
    </w:p>
    <w:p w:rsidR="00A57BFD" w:rsidRDefault="005B0D19">
      <w:pPr>
        <w:pStyle w:val="Titrearticle1"/>
        <w:rPr>
          <w:noProof/>
        </w:rPr>
      </w:pPr>
      <w:r>
        <w:rPr>
          <w:noProof/>
        </w:rPr>
        <w:t>Άρθρο 3</w:t>
      </w:r>
      <w:r>
        <w:rPr>
          <w:noProof/>
        </w:rPr>
        <w:br/>
      </w:r>
      <w:r>
        <w:rPr>
          <w:b/>
          <w:noProof/>
        </w:rPr>
        <w:t>Εξαιρέσεις σε περιπτώσεις ανωτέρας βίας και εξαιρετικών περιστάσεων</w:t>
      </w:r>
    </w:p>
    <w:p w:rsidR="00A57BFD" w:rsidRDefault="005B0D19">
      <w:pPr>
        <w:rPr>
          <w:noProof/>
        </w:rPr>
      </w:pPr>
      <w:r>
        <w:rPr>
          <w:noProof/>
        </w:rPr>
        <w:t>Για τους σκοπούς της χρηματοδότησης, διαχείρισης και παρακολούθησης της ΚΓΠ, μπορούν να αναγνωρίζονται ως «ανωτέρα βία» και «εξαιρετικές περιστάσεις» οι ακόλουθες, ιδίως, περιπτώσεις:</w:t>
      </w:r>
    </w:p>
    <w:p w:rsidR="00A57BFD" w:rsidRDefault="005B0D19">
      <w:pPr>
        <w:pStyle w:val="Point0"/>
        <w:rPr>
          <w:noProof/>
        </w:rPr>
      </w:pPr>
      <w:bookmarkStart w:id="29" w:name="ai1n2p2q1ra3"/>
      <w:bookmarkStart w:id="30" w:name="ai1n2p2q1ra3q1"/>
      <w:r>
        <w:rPr>
          <w:noProof/>
        </w:rPr>
        <w:t>α)</w:t>
      </w:r>
      <w:r>
        <w:rPr>
          <w:noProof/>
        </w:rPr>
        <w:tab/>
        <w:t>σοβαρή φυσική καταστροφή που προκαλεί σημαντική ζημιά στην εκμετάλλευση·</w:t>
      </w:r>
      <w:bookmarkEnd w:id="29"/>
      <w:bookmarkEnd w:id="30"/>
    </w:p>
    <w:p w:rsidR="00A57BFD" w:rsidRDefault="005B0D19">
      <w:pPr>
        <w:pStyle w:val="Point0"/>
        <w:rPr>
          <w:noProof/>
        </w:rPr>
      </w:pPr>
      <w:bookmarkStart w:id="31" w:name="ai1n2p2q1ra4"/>
      <w:bookmarkStart w:id="32" w:name="ai1n2p2q1ra4q1"/>
      <w:r>
        <w:rPr>
          <w:noProof/>
        </w:rPr>
        <w:t>β)</w:t>
      </w:r>
      <w:r>
        <w:rPr>
          <w:noProof/>
        </w:rPr>
        <w:tab/>
        <w:t>καταστροφή, λόγω ατυχήματος, κτιρίων της εκμετάλλευσης που χρησιμοποιούνται για την εκτροφή ζώων·</w:t>
      </w:r>
      <w:bookmarkEnd w:id="31"/>
      <w:bookmarkEnd w:id="32"/>
    </w:p>
    <w:p w:rsidR="00A57BFD" w:rsidRDefault="005B0D19">
      <w:pPr>
        <w:pStyle w:val="Point0"/>
        <w:rPr>
          <w:noProof/>
        </w:rPr>
      </w:pPr>
      <w:bookmarkStart w:id="33" w:name="ai1n2p2q1ra5"/>
      <w:bookmarkStart w:id="34" w:name="ai1n2p2q1ra5q1"/>
      <w:r>
        <w:rPr>
          <w:noProof/>
        </w:rPr>
        <w:t>γ)</w:t>
      </w:r>
      <w:r>
        <w:rPr>
          <w:noProof/>
        </w:rPr>
        <w:tab/>
        <w:t>επιζωοτία ή νόσος των φυτών που πλήττει αντιστοίχως ένα μέρος ή το σύνολο των ζώων ή των καλλιεργειών του δικαιούχου·</w:t>
      </w:r>
      <w:bookmarkEnd w:id="33"/>
      <w:bookmarkEnd w:id="34"/>
    </w:p>
    <w:p w:rsidR="00A57BFD" w:rsidRDefault="005B0D19">
      <w:pPr>
        <w:pStyle w:val="Point0"/>
        <w:rPr>
          <w:noProof/>
        </w:rPr>
      </w:pPr>
      <w:bookmarkStart w:id="35" w:name="ai1n2p2q1ra6"/>
      <w:bookmarkStart w:id="36" w:name="ai1n2p2q1ra6q1"/>
      <w:r>
        <w:rPr>
          <w:noProof/>
        </w:rPr>
        <w:t>δ)</w:t>
      </w:r>
      <w:r>
        <w:rPr>
          <w:noProof/>
        </w:rPr>
        <w:tab/>
        <w:t>απαλλοτρίωση του συνόλου ή σημαντικού τμήματος της εκμετάλλευσης, εφόσον δεν ήταν προβλέψιμη κατά την ημέρα υποβολής της αίτησης.</w:t>
      </w:r>
      <w:bookmarkEnd w:id="35"/>
      <w:bookmarkEnd w:id="36"/>
    </w:p>
    <w:p w:rsidR="00A57BFD" w:rsidRDefault="005B0D19">
      <w:pPr>
        <w:pStyle w:val="PartTitle"/>
        <w:rPr>
          <w:noProof/>
        </w:rPr>
      </w:pPr>
      <w:r>
        <w:rPr>
          <w:noProof/>
        </w:rPr>
        <w:lastRenderedPageBreak/>
        <w:t>Τίτλος II</w:t>
      </w:r>
      <w:r>
        <w:rPr>
          <w:noProof/>
        </w:rPr>
        <w:br/>
        <w:t>Γενικές διατάξεις για τα γεωργικά ταμεία</w:t>
      </w:r>
    </w:p>
    <w:p w:rsidR="00A57BFD" w:rsidRDefault="005B0D19">
      <w:pPr>
        <w:pStyle w:val="ChapterTitle0"/>
        <w:rPr>
          <w:noProof/>
        </w:rPr>
      </w:pPr>
      <w:r>
        <w:rPr>
          <w:noProof/>
        </w:rPr>
        <w:t>ΚΕΦΑΛΑΙΟ I</w:t>
      </w:r>
      <w:r>
        <w:rPr>
          <w:noProof/>
        </w:rPr>
        <w:br/>
        <w:t>Γεωργικά ταμεία</w:t>
      </w:r>
    </w:p>
    <w:p w:rsidR="00A57BFD" w:rsidRDefault="005B0D19">
      <w:pPr>
        <w:pStyle w:val="Titrearticle1"/>
        <w:rPr>
          <w:b/>
          <w:noProof/>
        </w:rPr>
      </w:pPr>
      <w:r>
        <w:rPr>
          <w:noProof/>
        </w:rPr>
        <w:t>Άρθρο 4</w:t>
      </w:r>
      <w:r>
        <w:rPr>
          <w:noProof/>
        </w:rPr>
        <w:br/>
      </w:r>
      <w:r>
        <w:rPr>
          <w:b/>
          <w:noProof/>
        </w:rPr>
        <w:t>Ταμεία για τη χρηματοδότηση γεωργικών δαπανών</w:t>
      </w:r>
    </w:p>
    <w:p w:rsidR="00A57BFD" w:rsidRDefault="005B0D19">
      <w:pPr>
        <w:rPr>
          <w:noProof/>
        </w:rPr>
      </w:pPr>
      <w:r>
        <w:rPr>
          <w:noProof/>
        </w:rPr>
        <w:t>Η χρηματοδότηση των διαφόρων παρεμβάσεων και μέτρων που εμπίπτουν στην ΚΓΠ από τον γενικό προϋπολογισμό της Ευρωπαϊκής Ένωσης (ο προϋπολογισμός της Ένωσης), εξασφαλίζεται από:</w:t>
      </w:r>
    </w:p>
    <w:p w:rsidR="00A57BFD" w:rsidRDefault="005B0D19">
      <w:pPr>
        <w:pStyle w:val="Point0"/>
        <w:rPr>
          <w:noProof/>
        </w:rPr>
      </w:pPr>
      <w:r>
        <w:rPr>
          <w:noProof/>
        </w:rPr>
        <w:t>α)</w:t>
      </w:r>
      <w:r>
        <w:rPr>
          <w:noProof/>
        </w:rPr>
        <w:tab/>
        <w:t>το Ευρωπαϊκό Γεωργικό Ταμείο Εγγυήσεων (ΕΓΤΕ)·</w:t>
      </w:r>
    </w:p>
    <w:p w:rsidR="00A57BFD" w:rsidRDefault="005B0D19">
      <w:pPr>
        <w:pStyle w:val="Point0"/>
        <w:rPr>
          <w:noProof/>
        </w:rPr>
      </w:pPr>
      <w:r>
        <w:rPr>
          <w:noProof/>
        </w:rPr>
        <w:t>β)</w:t>
      </w:r>
      <w:r>
        <w:rPr>
          <w:noProof/>
        </w:rPr>
        <w:tab/>
        <w:t>το Ευρωπαϊκό Γεωργικό Ταμείο Αγροτικής Ανάπτυξης (ΕΓΤΑΑ).</w:t>
      </w:r>
    </w:p>
    <w:p w:rsidR="00A57BFD" w:rsidRDefault="005B0D19">
      <w:pPr>
        <w:pStyle w:val="Titrearticle1"/>
        <w:rPr>
          <w:b/>
          <w:noProof/>
        </w:rPr>
      </w:pPr>
      <w:r>
        <w:rPr>
          <w:noProof/>
        </w:rPr>
        <w:t>Άρθρο 5</w:t>
      </w:r>
      <w:r>
        <w:rPr>
          <w:noProof/>
        </w:rPr>
        <w:br/>
      </w:r>
      <w:r>
        <w:rPr>
          <w:b/>
          <w:noProof/>
        </w:rPr>
        <w:t>Δαπάνες του ΕΓΤΕ</w:t>
      </w:r>
    </w:p>
    <w:p w:rsidR="00A57BFD" w:rsidRDefault="005B0D19">
      <w:pPr>
        <w:pStyle w:val="ManualNumPar1"/>
        <w:rPr>
          <w:noProof/>
        </w:rPr>
      </w:pPr>
      <w:r>
        <w:t>1.</w:t>
      </w:r>
      <w:r>
        <w:tab/>
      </w:r>
      <w:r>
        <w:rPr>
          <w:noProof/>
        </w:rPr>
        <w:t xml:space="preserve">Το ΕΓΤΕ αποτελεί αντικείμενο επιμερισμένης διαχείρισης μεταξύ των κρατών μελών και της Ένωσης ή απευθείας, όπως ορίζεται στις παραγράφους 2 και 3. </w:t>
      </w:r>
    </w:p>
    <w:p w:rsidR="00A57BFD" w:rsidRDefault="005B0D19">
      <w:pPr>
        <w:pStyle w:val="ManualNumPar1"/>
        <w:rPr>
          <w:noProof/>
        </w:rPr>
      </w:pPr>
      <w:r>
        <w:t>2.</w:t>
      </w:r>
      <w:r>
        <w:tab/>
      </w:r>
      <w:r>
        <w:rPr>
          <w:noProof/>
        </w:rPr>
        <w:t>Στο πλαίσιο της επιμερισμένης διαχείρισης, το ΕΓΤΕ χρηματοδοτεί τις ακόλουθες δαπάνες:</w:t>
      </w:r>
    </w:p>
    <w:p w:rsidR="00A57BFD" w:rsidRDefault="005B0D19">
      <w:pPr>
        <w:pStyle w:val="Point0"/>
        <w:rPr>
          <w:noProof/>
        </w:rPr>
      </w:pPr>
      <w:r>
        <w:rPr>
          <w:noProof/>
        </w:rPr>
        <w:t>α)</w:t>
      </w:r>
      <w:r>
        <w:rPr>
          <w:noProof/>
        </w:rPr>
        <w:tab/>
        <w:t>τα μέτρα για τη ρύθμιση ή τη στήριξη των γεωργικών αγορών, όπως ορίζεται στον κανονισμό (ΕΕ) αριθ. 1308/2013</w:t>
      </w:r>
      <w:r>
        <w:rPr>
          <w:rStyle w:val="af7"/>
          <w:noProof/>
        </w:rPr>
        <w:footnoteReference w:id="29"/>
      </w:r>
      <w:r>
        <w:rPr>
          <w:noProof/>
        </w:rPr>
        <w:t>·</w:t>
      </w:r>
    </w:p>
    <w:p w:rsidR="00A57BFD" w:rsidRDefault="005B0D19">
      <w:pPr>
        <w:pStyle w:val="Point0"/>
        <w:rPr>
          <w:noProof/>
        </w:rPr>
      </w:pPr>
      <w:r>
        <w:rPr>
          <w:noProof/>
        </w:rPr>
        <w:t>β)</w:t>
      </w:r>
      <w:r>
        <w:rPr>
          <w:noProof/>
        </w:rPr>
        <w:tab/>
        <w:t xml:space="preserve">τις τομεακές παρεμβάσεις όπως αναφέρονται στον τίτλο III κεφάλαιο 3 του κανονισμού (ΕΕ) .…/… [κανονισμός για το στρατηγικό σχέδιο της ΚΓΠ]· </w:t>
      </w:r>
    </w:p>
    <w:p w:rsidR="00A57BFD" w:rsidRDefault="005B0D19">
      <w:pPr>
        <w:pStyle w:val="Point0"/>
        <w:rPr>
          <w:noProof/>
        </w:rPr>
      </w:pPr>
      <w:r>
        <w:rPr>
          <w:noProof/>
        </w:rPr>
        <w:t>γ)</w:t>
      </w:r>
      <w:r>
        <w:rPr>
          <w:noProof/>
        </w:rPr>
        <w:tab/>
        <w:t>τις παρεμβάσεις με μορφή άμεσων ενισχύσεων που χορηγούνται στους γεωργούς στο πλαίσιο του στρατηγικού σχεδίου της ΚΓΠ που αναφέρονται στο άρθρο 14 του κανονισμού (ΕΕ).../... [κανονισμός για το στρατηγικό σχέδιο της ΚΓΠ]·</w:t>
      </w:r>
    </w:p>
    <w:p w:rsidR="00A57BFD" w:rsidRDefault="005B0D19">
      <w:pPr>
        <w:pStyle w:val="Point0"/>
        <w:rPr>
          <w:noProof/>
        </w:rPr>
      </w:pPr>
      <w:r>
        <w:rPr>
          <w:noProof/>
        </w:rPr>
        <w:t>δ)</w:t>
      </w:r>
      <w:r>
        <w:rPr>
          <w:noProof/>
        </w:rPr>
        <w:tab/>
        <w:t>τη χρηματοδοτική συνεισφορά της Ένωσης σε δράσεις ενημέρωσης και προώθησης για τα γεωργικά προϊόντα στην εσωτερική αγορά της Ένωσης και σε τρίτες χώρες που υλοποιούνται από τα κράτη μέλη και επιλέγονται από την Επιτροπή·</w:t>
      </w:r>
    </w:p>
    <w:p w:rsidR="00A57BFD" w:rsidRDefault="005B0D19">
      <w:pPr>
        <w:pStyle w:val="Point0"/>
        <w:rPr>
          <w:noProof/>
        </w:rPr>
      </w:pPr>
      <w:r>
        <w:rPr>
          <w:noProof/>
        </w:rPr>
        <w:t>ε)</w:t>
      </w:r>
      <w:r>
        <w:rPr>
          <w:noProof/>
        </w:rPr>
        <w:tab/>
        <w:t>τη χρηματοδοτική συνεισφορά της Ένωσης στα ειδικά μέτρα για τη γεωργία στις εξόχως απόκεντρες περιοχές της Ένωσης, όπως αναφέρεται στον κανονισμό (ΕΕ) αριθ. 228/2013, και στα ειδικά μέτρα για τη γεωργία στα μικρά νησιά του Αιγαίου, όπως αναφέρεται στον κανονισμό (ΕΕ) αριθ. 229/2013.</w:t>
      </w:r>
    </w:p>
    <w:p w:rsidR="00A57BFD" w:rsidRDefault="005B0D19">
      <w:pPr>
        <w:pStyle w:val="ManualNumPar1"/>
        <w:rPr>
          <w:noProof/>
        </w:rPr>
      </w:pPr>
      <w:r>
        <w:t>3.</w:t>
      </w:r>
      <w:r>
        <w:tab/>
      </w:r>
      <w:r>
        <w:rPr>
          <w:noProof/>
        </w:rPr>
        <w:t>Το ΕΓΤΕ χρηματοδοτεί τις ακόλουθες δαπάνες βάσει άμεσης διαχείρισης:</w:t>
      </w:r>
    </w:p>
    <w:p w:rsidR="00A57BFD" w:rsidRDefault="005B0D19">
      <w:pPr>
        <w:pStyle w:val="Point0"/>
        <w:rPr>
          <w:noProof/>
        </w:rPr>
      </w:pPr>
      <w:r>
        <w:rPr>
          <w:noProof/>
        </w:rPr>
        <w:t>α)</w:t>
      </w:r>
      <w:r>
        <w:rPr>
          <w:noProof/>
        </w:rPr>
        <w:tab/>
        <w:t>την προώθηση γεωργικών προϊόντων είτε απευθείας από την Επιτροπή είτε μέσω διεθνών οργανισμών·</w:t>
      </w:r>
    </w:p>
    <w:p w:rsidR="00A57BFD" w:rsidRDefault="005B0D19">
      <w:pPr>
        <w:pStyle w:val="Point0"/>
        <w:rPr>
          <w:noProof/>
        </w:rPr>
      </w:pPr>
      <w:r>
        <w:rPr>
          <w:noProof/>
        </w:rPr>
        <w:lastRenderedPageBreak/>
        <w:t>β)</w:t>
      </w:r>
      <w:r>
        <w:rPr>
          <w:noProof/>
        </w:rPr>
        <w:tab/>
        <w:t>τα μέτρα που λαμβάνονται σύμφωνα με την ενωσιακή νομοθεσία με σκοπό να εξασφαλίσουν τη διατήρηση, τον χαρακτηρισμό, τη συλλογή και τη χρησιμοποίηση γενετικών πόρων στη γεωργία·</w:t>
      </w:r>
    </w:p>
    <w:p w:rsidR="00A57BFD" w:rsidRDefault="005B0D19">
      <w:pPr>
        <w:pStyle w:val="Point0"/>
        <w:rPr>
          <w:noProof/>
        </w:rPr>
      </w:pPr>
      <w:r>
        <w:rPr>
          <w:noProof/>
        </w:rPr>
        <w:t>γ)</w:t>
      </w:r>
      <w:r>
        <w:rPr>
          <w:noProof/>
        </w:rPr>
        <w:tab/>
        <w:t>την εγκατάσταση και συντήρηση συστημάτων γεωργικών λογιστικών πληροφοριών·</w:t>
      </w:r>
    </w:p>
    <w:p w:rsidR="00A57BFD" w:rsidRDefault="005B0D19">
      <w:pPr>
        <w:pStyle w:val="Point0"/>
        <w:rPr>
          <w:noProof/>
        </w:rPr>
      </w:pPr>
      <w:r>
        <w:rPr>
          <w:noProof/>
        </w:rPr>
        <w:t>δ)</w:t>
      </w:r>
      <w:r>
        <w:rPr>
          <w:noProof/>
        </w:rPr>
        <w:tab/>
        <w:t>τα συστήματα γεωργικών ερευνών, συμπεριλαμβανομένων των ερευνών με αντικείμενο τη διάρθρωση των γεωργικών εκμεταλλεύσεων.</w:t>
      </w:r>
    </w:p>
    <w:p w:rsidR="00A57BFD" w:rsidRDefault="005B0D19">
      <w:pPr>
        <w:pStyle w:val="Titrearticle1"/>
        <w:rPr>
          <w:b/>
          <w:noProof/>
        </w:rPr>
      </w:pPr>
      <w:r>
        <w:rPr>
          <w:noProof/>
        </w:rPr>
        <w:t>Άρθρο 6</w:t>
      </w:r>
      <w:r>
        <w:rPr>
          <w:noProof/>
        </w:rPr>
        <w:br/>
      </w:r>
      <w:r>
        <w:rPr>
          <w:b/>
          <w:noProof/>
        </w:rPr>
        <w:t>Δαπάνες του ΕΓΤΑΑ</w:t>
      </w:r>
    </w:p>
    <w:p w:rsidR="00A57BFD" w:rsidRDefault="005B0D19">
      <w:pPr>
        <w:rPr>
          <w:noProof/>
        </w:rPr>
      </w:pPr>
      <w:r>
        <w:rPr>
          <w:noProof/>
        </w:rPr>
        <w:t>Το ΕΓΤΑΑ αποτελεί αντικείμενο επιμερισμένης διαχείρισης μεταξύ των κρατών μελών και της Ένωσης. Χρηματοδοτεί τη χρηματοδοτική συνεισφορά της Ένωσης στις παρεμβάσεις αγροτικής ανάπτυξης του στρατηγικού σχεδίου της ΚΓΠ που αναφέρονται στον τίτλο ΙΙΙ κεφάλαιο 4 του κανονισμού (ΕΕ) αριθ..../... [κανονισμός για το στρατηγικό σχέδιο της ΚΓΠ].</w:t>
      </w:r>
    </w:p>
    <w:p w:rsidR="00A57BFD" w:rsidRDefault="005B0D19">
      <w:pPr>
        <w:pStyle w:val="Titrearticle1"/>
        <w:rPr>
          <w:b/>
          <w:noProof/>
        </w:rPr>
      </w:pPr>
      <w:r>
        <w:rPr>
          <w:noProof/>
        </w:rPr>
        <w:t>Άρθρο 7</w:t>
      </w:r>
      <w:r>
        <w:rPr>
          <w:noProof/>
        </w:rPr>
        <w:br/>
      </w:r>
      <w:r>
        <w:rPr>
          <w:b/>
          <w:noProof/>
        </w:rPr>
        <w:t>Άλλες δαπάνες, συμπεριλαμβανομένης της τεχνικής βοήθειας</w:t>
      </w:r>
    </w:p>
    <w:p w:rsidR="00A57BFD" w:rsidRDefault="005B0D19">
      <w:pPr>
        <w:rPr>
          <w:noProof/>
        </w:rPr>
      </w:pPr>
      <w:r>
        <w:rPr>
          <w:noProof/>
        </w:rPr>
        <w:t>Τα Ταμεία μπορούν, είτε με πρωτοβουλία της Επιτροπής είτε για λογαριασμό της, να χρηματοδοτούν, το καθένα, άμεσα τις δραστηριότητες προπαρασκευής, παρακολούθησης, διοικητικής και τεχνικής υποστήριξης, καθώς και την αξιολόγηση, τον έλεγχο και τις επιθεωρήσεις που απαιτούνται για την εφαρμογή της ΚΓΠ. Ειδικότερα, περιλαμβάνουν τα εξής:</w:t>
      </w:r>
    </w:p>
    <w:p w:rsidR="00A57BFD" w:rsidRDefault="005B0D19">
      <w:pPr>
        <w:pStyle w:val="Point0"/>
        <w:rPr>
          <w:noProof/>
        </w:rPr>
      </w:pPr>
      <w:r>
        <w:rPr>
          <w:noProof/>
        </w:rPr>
        <w:t>α)</w:t>
      </w:r>
      <w:r>
        <w:rPr>
          <w:noProof/>
        </w:rPr>
        <w:tab/>
        <w:t>τα μέτρα που είναι αναγκαία για την ανάλυση, τη διαχείριση, την παρακολούθηση, την ανταλλαγή στοιχείων και την εφαρμογή της ΚΓΠ καθώς και τα μέτρα που αφορούν την εφαρμογή συστημάτων ελέγχου και την τεχνική και διοικητική βοήθεια·</w:t>
      </w:r>
    </w:p>
    <w:p w:rsidR="00A57BFD" w:rsidRDefault="005B0D19">
      <w:pPr>
        <w:pStyle w:val="Point0"/>
        <w:rPr>
          <w:noProof/>
        </w:rPr>
      </w:pPr>
      <w:r>
        <w:rPr>
          <w:noProof/>
        </w:rPr>
        <w:t>β)</w:t>
      </w:r>
      <w:r>
        <w:rPr>
          <w:noProof/>
        </w:rPr>
        <w:tab/>
        <w:t>την απόκτηση από την Επιτροπή των δορυφορικών δεδομένων που απαιτούνται για το σύστημα παρακολούθησης εκτάσεων σύμφωνα με το άρθρο 22·</w:t>
      </w:r>
    </w:p>
    <w:p w:rsidR="00A57BFD" w:rsidRDefault="005B0D19">
      <w:pPr>
        <w:pStyle w:val="Point0"/>
        <w:rPr>
          <w:noProof/>
        </w:rPr>
      </w:pPr>
      <w:r>
        <w:rPr>
          <w:noProof/>
        </w:rPr>
        <w:t>γ)</w:t>
      </w:r>
      <w:r>
        <w:rPr>
          <w:noProof/>
        </w:rPr>
        <w:tab/>
        <w:t>τις δράσεις που αναλαμβάνονται από την Επιτροπή μέσω εφαρμογών τηλεπισκόπησης που χρησιμοποιούνται για την παρακολούθηση των γεωργικών πόρων σύμφωνα με το άρθρο 23·</w:t>
      </w:r>
    </w:p>
    <w:p w:rsidR="00A57BFD" w:rsidRDefault="005B0D19">
      <w:pPr>
        <w:pStyle w:val="Point0"/>
        <w:rPr>
          <w:noProof/>
        </w:rPr>
      </w:pPr>
      <w:r>
        <w:rPr>
          <w:noProof/>
        </w:rPr>
        <w:t>δ)</w:t>
      </w:r>
      <w:r>
        <w:rPr>
          <w:noProof/>
        </w:rPr>
        <w:tab/>
        <w:t>τα αναγκαία μέτρα για τη διατήρηση και την ανάπτυξη των μεθόδων και τεχνικών μέσων πληροφόρησης, διασύνδεσης, παρακολούθησης και ελέγχου της οικονομικής διαχείρισης των Ταμείων που χρησιμοποιούνται για τη χρηματοδότηση της ΚΓΠ·</w:t>
      </w:r>
    </w:p>
    <w:p w:rsidR="00A57BFD" w:rsidRDefault="005B0D19">
      <w:pPr>
        <w:pStyle w:val="Point0"/>
        <w:rPr>
          <w:noProof/>
        </w:rPr>
      </w:pPr>
      <w:r>
        <w:rPr>
          <w:noProof/>
        </w:rPr>
        <w:t>ε)</w:t>
      </w:r>
      <w:r>
        <w:rPr>
          <w:noProof/>
        </w:rPr>
        <w:tab/>
        <w:t>την παροχή πληροφοριών για την ΚΓΠ σύμφωνα με το άρθρο 44·</w:t>
      </w:r>
    </w:p>
    <w:p w:rsidR="00A57BFD" w:rsidRDefault="005B0D19">
      <w:pPr>
        <w:pStyle w:val="Point0"/>
        <w:rPr>
          <w:noProof/>
        </w:rPr>
      </w:pPr>
      <w:r>
        <w:rPr>
          <w:noProof/>
        </w:rPr>
        <w:t>στ)</w:t>
      </w:r>
      <w:r>
        <w:rPr>
          <w:noProof/>
        </w:rPr>
        <w:tab/>
        <w:t>τις μελέτες για την ΚΓΠ και την αξιολόγηση των μέτρων που χρηματοδοτούνται από τα ταμεία, συμπεριλαμβανομένης της βελτίωσης των μεθόδων αξιολόγησης και της ανταλλαγής στοιχείων για τις πρακτικές στα πλαίσια της ΚΓΠ, καθώς και μελέτες που διεξάγονται με την Ευρωπαϊκή Τράπεζα Επενδύσεων (ΕΤΕπ)·</w:t>
      </w:r>
    </w:p>
    <w:p w:rsidR="00A57BFD" w:rsidRDefault="005B0D19">
      <w:pPr>
        <w:pStyle w:val="Point0"/>
        <w:rPr>
          <w:noProof/>
        </w:rPr>
      </w:pPr>
      <w:r>
        <w:rPr>
          <w:noProof/>
        </w:rPr>
        <w:lastRenderedPageBreak/>
        <w:t>ζ)</w:t>
      </w:r>
      <w:r>
        <w:rPr>
          <w:noProof/>
        </w:rPr>
        <w:tab/>
        <w:t>κατά περίπτωση, τις συνεισφορές προς εκτελεστικούς οργανισμούς που ιδρύονται σύμφωνα με τον κανονισμό (ΕΚ) αριθ. 58/2003 του Συμβουλίου</w:t>
      </w:r>
      <w:r>
        <w:rPr>
          <w:rStyle w:val="af7"/>
          <w:noProof/>
        </w:rPr>
        <w:footnoteReference w:id="30"/>
      </w:r>
      <w:r>
        <w:rPr>
          <w:noProof/>
        </w:rPr>
        <w:t>, οι οποίοι παρεμβαίνουν στο πλαίσιο της ΚΓΠ·</w:t>
      </w:r>
    </w:p>
    <w:p w:rsidR="00A57BFD" w:rsidRDefault="005B0D19">
      <w:pPr>
        <w:pStyle w:val="Point0"/>
        <w:rPr>
          <w:noProof/>
        </w:rPr>
      </w:pPr>
      <w:r>
        <w:rPr>
          <w:noProof/>
        </w:rPr>
        <w:t>η)</w:t>
      </w:r>
      <w:r>
        <w:rPr>
          <w:noProof/>
        </w:rPr>
        <w:tab/>
        <w:t>τη συνεισφορά σε μέτρα για τη διάδοση των πληροφοριών, την ευαισθητοποίηση, την προώθηση της συνεργασίας και την ανταλλαγή εμπειριών σε ενωσιακό επίπεδο τα οποία λαμβάνονται στο πλαίσιο παρεμβάσεων αγροτικής ανάπτυξης, συμπεριλαμβανομένης της δικτύωσης των ενδιαφερόμενων μερών·</w:t>
      </w:r>
    </w:p>
    <w:p w:rsidR="00A57BFD" w:rsidRDefault="005B0D19">
      <w:pPr>
        <w:pStyle w:val="Point0"/>
        <w:rPr>
          <w:noProof/>
        </w:rPr>
      </w:pPr>
      <w:r>
        <w:rPr>
          <w:noProof/>
        </w:rPr>
        <w:t>θ)</w:t>
      </w:r>
      <w:r>
        <w:rPr>
          <w:noProof/>
        </w:rPr>
        <w:tab/>
        <w:t>τα δίκτυα τεχνολογίας των πληροφοριών που εστιάζουν στην επεξεργασία και την ανταλλαγή πληροφοριών, συμπεριλαμβανομένων των εταιρικών συστημάτων τεχνολογίας των πληροφοριών που απαιτούνται σε σχέση με τη διαχείριση της ΚΓΠ·</w:t>
      </w:r>
    </w:p>
    <w:p w:rsidR="00A57BFD" w:rsidRDefault="005B0D19">
      <w:pPr>
        <w:pStyle w:val="Point0"/>
        <w:rPr>
          <w:noProof/>
        </w:rPr>
      </w:pPr>
      <w:r>
        <w:rPr>
          <w:noProof/>
        </w:rPr>
        <w:t>ι)</w:t>
      </w:r>
      <w:r>
        <w:rPr>
          <w:noProof/>
        </w:rPr>
        <w:tab/>
        <w:t>τα μέτρα που είναι αναγκαία για την ανάπτυξη, την καταχώριση και την προστασία λογοτύπων στο πλαίσιο των ενωσιακών πολιτικών ποιότητας, όπως ορίζεται στο άρθρο 44 παράγραφος 2 του κανονισμού (ΕΕ) αριθ. 1151/2012 του Ευρωπαϊκού Κοινοβουλίου και του Συμβουλίου</w:t>
      </w:r>
      <w:r>
        <w:rPr>
          <w:rStyle w:val="af7"/>
          <w:noProof/>
        </w:rPr>
        <w:footnoteReference w:id="31"/>
      </w:r>
      <w:r>
        <w:rPr>
          <w:noProof/>
        </w:rPr>
        <w:t>, για την προστασία των συναφών δικαιωμάτων διανοητικής ιδιοκτησίας, καθώς και για την απαραίτητη εξέλιξη της τεχνολογίας των πληροφοριών.</w:t>
      </w:r>
    </w:p>
    <w:p w:rsidR="00A57BFD" w:rsidRDefault="005B0D19">
      <w:pPr>
        <w:pStyle w:val="ChapterTitle0"/>
        <w:rPr>
          <w:noProof/>
        </w:rPr>
      </w:pPr>
      <w:r>
        <w:rPr>
          <w:noProof/>
        </w:rPr>
        <w:t>ΚΕΦΑΛΑΙΟ II</w:t>
      </w:r>
      <w:r>
        <w:rPr>
          <w:noProof/>
        </w:rPr>
        <w:br/>
        <w:t>Όργανα διακυβέρνησης</w:t>
      </w:r>
    </w:p>
    <w:p w:rsidR="00A57BFD" w:rsidRDefault="005B0D19">
      <w:pPr>
        <w:pStyle w:val="Titrearticle1"/>
        <w:rPr>
          <w:b/>
          <w:noProof/>
        </w:rPr>
      </w:pPr>
      <w:r>
        <w:rPr>
          <w:noProof/>
        </w:rPr>
        <w:t>Άρθρο 8</w:t>
      </w:r>
      <w:r>
        <w:rPr>
          <w:noProof/>
        </w:rPr>
        <w:br/>
      </w:r>
      <w:r>
        <w:rPr>
          <w:b/>
          <w:noProof/>
        </w:rPr>
        <w:t xml:space="preserve">Οργανισμοί πληρωμών και οργανισμοί συντονισμού </w:t>
      </w:r>
    </w:p>
    <w:p w:rsidR="00A57BFD" w:rsidRDefault="005B0D19">
      <w:pPr>
        <w:pStyle w:val="ManualNumPar1"/>
        <w:rPr>
          <w:noProof/>
        </w:rPr>
      </w:pPr>
      <w:r>
        <w:t>1.</w:t>
      </w:r>
      <w:r>
        <w:tab/>
      </w:r>
      <w:r>
        <w:rPr>
          <w:noProof/>
        </w:rPr>
        <w:t>Οι οργανισμοί πληρωμών είναι υπηρεσίες ή φορείς των κρατών μελών που είναι υπεύθυνοι για τη διαχείριση και τον έλεγχο των δαπανών που αναφέρονται στο άρθρο 5 παράγραφος 2 και το άρθρο 6.</w:t>
      </w:r>
    </w:p>
    <w:p w:rsidR="00A57BFD" w:rsidRDefault="005B0D19">
      <w:pPr>
        <w:pStyle w:val="Text1"/>
        <w:rPr>
          <w:noProof/>
        </w:rPr>
      </w:pPr>
      <w:r>
        <w:rPr>
          <w:noProof/>
        </w:rPr>
        <w:t>Με εξαίρεση τις πληρωμές, η εκτέλεση των καθηκόντων αυτών μπορεί να ανατεθεί σε άλλους φορείς.</w:t>
      </w:r>
    </w:p>
    <w:p w:rsidR="00A57BFD" w:rsidRDefault="005B0D19">
      <w:pPr>
        <w:pStyle w:val="ManualNumPar1"/>
        <w:rPr>
          <w:noProof/>
        </w:rPr>
      </w:pPr>
      <w:r>
        <w:t>2.</w:t>
      </w:r>
      <w:r>
        <w:tab/>
      </w:r>
      <w:r>
        <w:rPr>
          <w:noProof/>
        </w:rPr>
        <w:t>Τα κράτη μέλη διαπιστεύουν ως οργανισμούς πληρωμών υπηρεσίες ή φορείς που διαθέτουν διοικητική οργάνωση και σύστημα εσωτερικού ελέγχου τα οποία παρέχουν επαρκή εχέγγυα για τη νομιμότητα και την κανονικότητα των πληρωμών καθώς και για την κατάλληλη λογιστική καταχώρισή τους. Προς τον σκοπό αυτό, οι οργανισμοί πληρωμών πρέπει να πληρούν τους ελάχιστους όρους διαπίστευσης που θέτει η Επιτροπή σύμφωνα με το άρθρο 10 παράγραφος 1 στοιχείο α) όσον αφορά το εσωτερικό περιβάλλον, τις δραστηριότητες ελέγχου, την ενημέρωση και επικοινωνία και την παρακολούθηση.</w:t>
      </w:r>
    </w:p>
    <w:p w:rsidR="00A57BFD" w:rsidRDefault="005B0D19">
      <w:pPr>
        <w:pStyle w:val="Text1"/>
        <w:rPr>
          <w:noProof/>
        </w:rPr>
      </w:pPr>
      <w:bookmarkStart w:id="37" w:name="ai2j2n7p2q2"/>
      <w:r>
        <w:rPr>
          <w:noProof/>
        </w:rPr>
        <w:t xml:space="preserve">Κάθε κράτος μέλος περιορίζει τον αριθμό των διαπιστευμένων οργανισμών πληρωμών του ως εξής: </w:t>
      </w:r>
    </w:p>
    <w:p w:rsidR="00A57BFD" w:rsidRDefault="005B0D19">
      <w:pPr>
        <w:pStyle w:val="Point10"/>
        <w:rPr>
          <w:noProof/>
        </w:rPr>
      </w:pPr>
      <w:r>
        <w:rPr>
          <w:noProof/>
        </w:rPr>
        <w:t>α)</w:t>
      </w:r>
      <w:r>
        <w:rPr>
          <w:noProof/>
        </w:rPr>
        <w:tab/>
        <w:t xml:space="preserve">σε έναν ενιαίο οργανισμό σε εθνικό επίπεδο ή, κατά περίπτωση, έναν ανά περιφέρεια· και </w:t>
      </w:r>
    </w:p>
    <w:p w:rsidR="00A57BFD" w:rsidRDefault="005B0D19">
      <w:pPr>
        <w:pStyle w:val="Point10"/>
        <w:rPr>
          <w:noProof/>
        </w:rPr>
      </w:pPr>
      <w:r>
        <w:rPr>
          <w:noProof/>
        </w:rPr>
        <w:lastRenderedPageBreak/>
        <w:t>β)</w:t>
      </w:r>
      <w:r>
        <w:rPr>
          <w:noProof/>
        </w:rPr>
        <w:tab/>
        <w:t xml:space="preserve">σε έναν ενιαίο οργανισμό διαχείρισης των δαπανών του ΕΓΤΕ και του ΕΓΤΑΑ. </w:t>
      </w:r>
    </w:p>
    <w:p w:rsidR="00A57BFD" w:rsidRDefault="005B0D19">
      <w:pPr>
        <w:pStyle w:val="Text1"/>
        <w:rPr>
          <w:noProof/>
        </w:rPr>
      </w:pPr>
      <w:r>
        <w:rPr>
          <w:noProof/>
        </w:rPr>
        <w:t>Ωστόσο, σε περίπτωση που οι οργανισμοί πληρωμών ορίζονται σε περιφερειακό επίπεδο, τα κράτη μέλη, επιπροσθέτως, είτε διαπιστεύουν έναν οργανισμό πληρωμών σε εθνικό επίπεδο για τα καθεστώτα ενίσχυσης των οποίων, λόγω του χαρακτήρα τους, η διαχείριση πρέπει να γίνεται σε εθνικό επίπεδο είτε τα κράτη μέλη αναθέτουν τη διαχείριση των εν λόγω καθεστώτων στους περιφερειακούς οργανισμούς πληρωμών τους.</w:t>
      </w:r>
      <w:bookmarkEnd w:id="37"/>
      <w:r>
        <w:rPr>
          <w:noProof/>
        </w:rPr>
        <w:t xml:space="preserve"> </w:t>
      </w:r>
    </w:p>
    <w:p w:rsidR="00A57BFD" w:rsidRDefault="005B0D19">
      <w:pPr>
        <w:pStyle w:val="Text1"/>
        <w:rPr>
          <w:noProof/>
        </w:rPr>
      </w:pPr>
      <w:r>
        <w:rPr>
          <w:noProof/>
        </w:rPr>
        <w:t>Η διαπίστευση των οργανισμών πληρωμών που δεν έχουν διαχειριστεί δαπάνες του ΕΓΤΕ ή του ΕΓΤΑΑ επί τουλάχιστον</w:t>
      </w:r>
      <w:r>
        <w:rPr>
          <w:i/>
          <w:noProof/>
        </w:rPr>
        <w:t xml:space="preserve"> </w:t>
      </w:r>
      <w:r>
        <w:rPr>
          <w:noProof/>
        </w:rPr>
        <w:t xml:space="preserve">τρία έτη ανακαλείται. </w:t>
      </w:r>
    </w:p>
    <w:p w:rsidR="00A57BFD" w:rsidRDefault="005B0D19">
      <w:pPr>
        <w:pStyle w:val="Text1"/>
        <w:rPr>
          <w:noProof/>
        </w:rPr>
      </w:pPr>
      <w:r>
        <w:rPr>
          <w:noProof/>
        </w:rPr>
        <w:t>Τα κράτη μέλη δεν ορίζουν νέο πρόσθετο οργανισμό πληρωμών μετά την ημερομηνία έναρξης ισχύος του παρόντος κανονισμού.</w:t>
      </w:r>
    </w:p>
    <w:p w:rsidR="00A57BFD" w:rsidRDefault="005B0D19">
      <w:pPr>
        <w:pStyle w:val="ManualNumPar1"/>
        <w:rPr>
          <w:noProof/>
        </w:rPr>
      </w:pPr>
      <w:r>
        <w:t>3.</w:t>
      </w:r>
      <w:r>
        <w:tab/>
      </w:r>
      <w:r>
        <w:rPr>
          <w:noProof/>
        </w:rPr>
        <w:t>Για τους σκοπούς του άρθρου 63 παράγραφοι 5 και 6 του κανονισμού (ΕΕ, Ευρατόμ) 2018/… [ο νέος δημοσιονομικός κανονισμός] («δημοσιονομικός κανονισμός»), το πρόσωπο που είναι υπεύθυνο για τον διαπιστευμένο οργανισμό πληρωμών, έως τις 15 Φεβρουαρίου του έτους που έπεται του σχετικού οικονομικού έτους, καταρτίζει και παρέχει στην Επιτροπή τα ακόλουθα:</w:t>
      </w:r>
    </w:p>
    <w:p w:rsidR="00A57BFD" w:rsidRDefault="005B0D19">
      <w:pPr>
        <w:pStyle w:val="Point10"/>
        <w:rPr>
          <w:noProof/>
        </w:rPr>
      </w:pPr>
      <w:r>
        <w:rPr>
          <w:noProof/>
        </w:rPr>
        <w:t>α)</w:t>
      </w:r>
      <w:r>
        <w:rPr>
          <w:noProof/>
        </w:rPr>
        <w:tab/>
        <w:t>τους ετήσιους λογαριασμούς των δαπανών που πραγματοποιήθηκαν κατά την εκτέλεση των καθηκόντων τα οποία έχουν ανατεθεί στον οικείο διαπιστευμένο οργανισμό πληρωμών, όπως προβλέπεται στο άρθρο 63 παράγραφος 5 στοιχείο α) του δημοσιονομικού κανονισμού, μαζί με τις απαιτούμενες πληροφορίες για την εκκαθάριση λογαριασμών κατά το άρθρο 51·</w:t>
      </w:r>
    </w:p>
    <w:p w:rsidR="00A57BFD" w:rsidRDefault="005B0D19">
      <w:pPr>
        <w:pStyle w:val="Point10"/>
        <w:rPr>
          <w:noProof/>
        </w:rPr>
      </w:pPr>
      <w:r>
        <w:rPr>
          <w:noProof/>
        </w:rPr>
        <w:t>β)</w:t>
      </w:r>
      <w:r>
        <w:rPr>
          <w:noProof/>
        </w:rPr>
        <w:tab/>
        <w:t>την ετήσια έκθεση επιδόσεων που αναφέρεται στο άρθρο 52 παράγραφος 1, από την οποία προκύπτει ότι οι δαπάνες πραγματοποιήθηκαν σύμφωνα με το άρθρο 35·</w:t>
      </w:r>
    </w:p>
    <w:p w:rsidR="00A57BFD" w:rsidRDefault="005B0D19">
      <w:pPr>
        <w:pStyle w:val="Point10"/>
        <w:rPr>
          <w:noProof/>
        </w:rPr>
      </w:pPr>
      <w:r>
        <w:rPr>
          <w:noProof/>
        </w:rPr>
        <w:t>γ)</w:t>
      </w:r>
      <w:r>
        <w:rPr>
          <w:noProof/>
        </w:rPr>
        <w:tab/>
        <w:t xml:space="preserve">τη διαχειριστική δήλωση που προβλέπεται στο άρθρο 63 παράγραφος 6 του δημοσιονομικού κανονισμού, σχετικά με: </w:t>
      </w:r>
    </w:p>
    <w:p w:rsidR="00A57BFD" w:rsidRDefault="005B0D19">
      <w:pPr>
        <w:pStyle w:val="Point2"/>
        <w:rPr>
          <w:noProof/>
        </w:rPr>
      </w:pPr>
      <w:r>
        <w:rPr>
          <w:noProof/>
        </w:rPr>
        <w:t>i)</w:t>
      </w:r>
      <w:r>
        <w:rPr>
          <w:noProof/>
        </w:rPr>
        <w:tab/>
        <w:t>το γεγονός ότι τα στοιχεία παρουσιάζονται με τον κατάλληλο τρόπο και είναι πλήρη και ακριβή, όπως προβλέπεται στο άρθρο 63 παράγραφος 6 στοιχείο α) του δημοσιονομικού κανονισμού,</w:t>
      </w:r>
    </w:p>
    <w:p w:rsidR="00A57BFD" w:rsidRDefault="005B0D19">
      <w:pPr>
        <w:pStyle w:val="Point2"/>
        <w:rPr>
          <w:noProof/>
        </w:rPr>
      </w:pPr>
      <w:r>
        <w:rPr>
          <w:noProof/>
        </w:rPr>
        <w:t>ii)</w:t>
      </w:r>
      <w:r>
        <w:rPr>
          <w:noProof/>
        </w:rPr>
        <w:tab/>
        <w:t>την ορθή λειτουργία των συστημάτων διακυβέρνησης που έχουν τεθεί σε εφαρμογή, τα οποία παρέχουν τις απαραίτητες διασφαλίσεις όσον αφορά τις εκροές που αναφέρονται στην ετήσια έκθεση επιδόσεων, όπως προβλέπεται στο άρθρο 63 παράγραφος 6 στοιχεία β) και γ) του δημοσιονομικού κανονισμού,</w:t>
      </w:r>
    </w:p>
    <w:p w:rsidR="00A57BFD" w:rsidRDefault="005B0D19">
      <w:pPr>
        <w:pStyle w:val="Point2"/>
        <w:rPr>
          <w:noProof/>
        </w:rPr>
      </w:pPr>
      <w:r>
        <w:rPr>
          <w:noProof/>
        </w:rPr>
        <w:t>iii)</w:t>
      </w:r>
      <w:r>
        <w:rPr>
          <w:noProof/>
        </w:rPr>
        <w:tab/>
        <w:t xml:space="preserve">ανάλυση της φύσης και έκτασης των σφαλμάτων και αδυναμιών που εντοπίστηκαν στα συστήματα από τους απλούς και λογιστικούς ελέγχους, καθώς και των διορθωτικών μέτρων που έχουν ληφθεί ή προβλέπεται να ληφθούν, όπως προβλέπεται στο άρθρο 63 παράγραφος 5 στοιχείο β) του δημοσιονομικού κανονισμού. </w:t>
      </w:r>
    </w:p>
    <w:p w:rsidR="00A57BFD" w:rsidRDefault="005B0D19">
      <w:pPr>
        <w:pStyle w:val="Text1"/>
        <w:rPr>
          <w:noProof/>
        </w:rPr>
      </w:pPr>
      <w:r>
        <w:rPr>
          <w:noProof/>
        </w:rPr>
        <w:t>Η προθεσμία της 15ης Φεβρουαρίου που αναφέρεται στο πρώτο εδάφιο μπορεί να παρατείνεται κατ’ εξαίρεση από την Επιτροπή έως την 1η Μαρτίου, κατόπιν αιτήματος του ενδιαφερόμενου κράτους μέλους, όπως προβλέπεται στο άρθρο 63 παράγραφος 7 δεύτερο εδάφιο του δημοσιονομικού κανονισμού.</w:t>
      </w:r>
    </w:p>
    <w:p w:rsidR="00A57BFD" w:rsidRDefault="005B0D19">
      <w:pPr>
        <w:pStyle w:val="ManualNumPar1"/>
        <w:rPr>
          <w:noProof/>
        </w:rPr>
      </w:pPr>
      <w:r>
        <w:lastRenderedPageBreak/>
        <w:t>4.</w:t>
      </w:r>
      <w:r>
        <w:tab/>
      </w:r>
      <w:r>
        <w:rPr>
          <w:noProof/>
        </w:rPr>
        <w:t>Σε περίπτωση διαπίστευσης περισσότερων του ενός οργανισμών πληρωμών, το κράτος μέλος ορίζει έναν δημόσιο οργανισμό συντονισμού, στον οποίο αναθέτει τα ακόλουθα καθήκοντα:</w:t>
      </w:r>
    </w:p>
    <w:p w:rsidR="00A57BFD" w:rsidRDefault="005B0D19">
      <w:pPr>
        <w:pStyle w:val="Point10"/>
        <w:rPr>
          <w:noProof/>
        </w:rPr>
      </w:pPr>
      <w:bookmarkStart w:id="38" w:name="ai2j2n7p4q1ra1q1"/>
      <w:r>
        <w:rPr>
          <w:noProof/>
        </w:rPr>
        <w:t>α)</w:t>
      </w:r>
      <w:r>
        <w:rPr>
          <w:noProof/>
        </w:rPr>
        <w:tab/>
        <w:t>τη συλλογή των στοιχείων που πρέπει να παρέχονται στην Επιτροπή και τη διαβίβασή τους σε αυτήν·</w:t>
      </w:r>
      <w:bookmarkEnd w:id="38"/>
    </w:p>
    <w:p w:rsidR="00A57BFD" w:rsidRDefault="005B0D19">
      <w:pPr>
        <w:pStyle w:val="Point10"/>
        <w:rPr>
          <w:noProof/>
        </w:rPr>
      </w:pPr>
      <w:bookmarkStart w:id="39" w:name="ai2j2n7p4q1ra3"/>
      <w:r>
        <w:rPr>
          <w:noProof/>
        </w:rPr>
        <w:t>β)</w:t>
      </w:r>
      <w:r>
        <w:rPr>
          <w:noProof/>
        </w:rPr>
        <w:tab/>
        <w:t>την υποβολή της ετήσιας έκθεσης επιδόσεων που αναφέρεται στο άρθρο 52 παράγραφος 1·</w:t>
      </w:r>
    </w:p>
    <w:p w:rsidR="00A57BFD" w:rsidRDefault="005B0D19">
      <w:pPr>
        <w:pStyle w:val="Point10"/>
        <w:rPr>
          <w:noProof/>
        </w:rPr>
      </w:pPr>
      <w:bookmarkStart w:id="40" w:name="ai2j2n7p4q1ra2"/>
      <w:bookmarkStart w:id="41" w:name="ai2j2n7p4q1ra2q1"/>
      <w:bookmarkStart w:id="42" w:name="ai2j2n7p4q2"/>
      <w:bookmarkEnd w:id="39"/>
      <w:r>
        <w:rPr>
          <w:noProof/>
        </w:rPr>
        <w:t>γ)</w:t>
      </w:r>
      <w:r>
        <w:rPr>
          <w:noProof/>
        </w:rPr>
        <w:tab/>
        <w:t>τη λήψη ή τον συντονισμό μέτρων για τη διόρθωση οποιωνδήποτε ελλείψεων κοινής φύσης και την ενημέρωση της Επιτροπής όσον αφορά τις επακόλουθες ενέργειες·</w:t>
      </w:r>
      <w:bookmarkEnd w:id="40"/>
      <w:bookmarkEnd w:id="41"/>
    </w:p>
    <w:p w:rsidR="00A57BFD" w:rsidRDefault="005B0D19">
      <w:pPr>
        <w:pStyle w:val="Point10"/>
        <w:rPr>
          <w:noProof/>
        </w:rPr>
      </w:pPr>
      <w:bookmarkStart w:id="43" w:name="ai2j2n7p4q1ra3q1"/>
      <w:r>
        <w:rPr>
          <w:noProof/>
        </w:rPr>
        <w:t>δ)</w:t>
      </w:r>
      <w:r>
        <w:rPr>
          <w:noProof/>
        </w:rPr>
        <w:tab/>
        <w:t>την προώθηση και την εξασφάλιση εναρμονισμένης εφαρμογής των ενωσιακών κανόνων.</w:t>
      </w:r>
      <w:bookmarkEnd w:id="43"/>
    </w:p>
    <w:p w:rsidR="00A57BFD" w:rsidRDefault="005B0D19">
      <w:pPr>
        <w:pStyle w:val="Text1"/>
        <w:rPr>
          <w:noProof/>
        </w:rPr>
      </w:pPr>
      <w:r>
        <w:rPr>
          <w:noProof/>
        </w:rPr>
        <w:t>Ο οργανισμός συντονισμού υπόκειται σε ειδική διαπίστευση από τα κράτη μέλη όσον αφορά την επεξεργασία των δημοσιονομικών στοιχείων που αναφέρονται στο πρώτο εδάφιο στοιχείο α).</w:t>
      </w:r>
      <w:bookmarkEnd w:id="42"/>
    </w:p>
    <w:p w:rsidR="00A57BFD" w:rsidRDefault="005B0D19">
      <w:pPr>
        <w:pStyle w:val="Text1"/>
        <w:rPr>
          <w:noProof/>
        </w:rPr>
      </w:pPr>
      <w:r>
        <w:rPr>
          <w:noProof/>
        </w:rPr>
        <w:t>Η ετήσια έκθεση επιδόσεων που υποβάλλει ο οργανισμός συντονισμού καλύπτεται από το πεδίο εφαρμογής της γνωμοδότησης που αναφέρεται στο άρθρο 11 παράγραφος 1</w:t>
      </w:r>
      <w:r>
        <w:rPr>
          <w:i/>
          <w:noProof/>
        </w:rPr>
        <w:t xml:space="preserve"> </w:t>
      </w:r>
      <w:r>
        <w:rPr>
          <w:noProof/>
        </w:rPr>
        <w:t>και η διαβίβασή της συνοδεύεται από διαχειριστική δήλωση που καλύπτει το σύνολο της εν λόγω έκθεσης.</w:t>
      </w:r>
    </w:p>
    <w:p w:rsidR="00A57BFD" w:rsidRDefault="005B0D19">
      <w:pPr>
        <w:pStyle w:val="ManualNumPar1"/>
        <w:rPr>
          <w:noProof/>
        </w:rPr>
      </w:pPr>
      <w:r>
        <w:t>5.</w:t>
      </w:r>
      <w:r>
        <w:tab/>
      </w:r>
      <w:r>
        <w:rPr>
          <w:noProof/>
        </w:rPr>
        <w:t>Όταν ο διαπιστευμένος οργανισμός πληρωμών δεν πληροί ή παύει να πληροί ένα ή περισσότερα από τα κριτήρια διαπίστευσης της παραγράφου 2, το κράτος μέλος, με ιδία πρωτοβουλία ή κατόπιν αίτησης της Επιτροπής, ανακαλεί τη διαπίστευση, εκτός εάν ο οργανισμός πληρωμών προβεί στις απαιτούμενες προσαρμογές εντός προθεσμίας που καθορίζεται από την αρμόδια αρχή ανάλογα με τη σοβαρότητα του προβλήματος.</w:t>
      </w:r>
    </w:p>
    <w:p w:rsidR="00A57BFD" w:rsidRDefault="005B0D19">
      <w:pPr>
        <w:pStyle w:val="ManualNumPar1"/>
        <w:rPr>
          <w:noProof/>
        </w:rPr>
      </w:pPr>
      <w:r>
        <w:t>6.</w:t>
      </w:r>
      <w:r>
        <w:tab/>
      </w:r>
      <w:r>
        <w:rPr>
          <w:noProof/>
        </w:rPr>
        <w:t>Οι οργανισμοί πληρωμών διαχειρίζονται και εξασφαλίζουν τον έλεγχο των σχετιζόμενων με τη δημόσια παρέμβαση πράξεων για τις οποίες είναι υπεύθυνοι και διατηρούν τη συνολική ευθύνη στον τομέα αυτό.</w:t>
      </w:r>
    </w:p>
    <w:p w:rsidR="00A57BFD" w:rsidRDefault="005B0D19">
      <w:pPr>
        <w:pStyle w:val="Text1"/>
        <w:rPr>
          <w:noProof/>
        </w:rPr>
      </w:pPr>
      <w:r>
        <w:rPr>
          <w:noProof/>
        </w:rPr>
        <w:t>Όταν η στήριξη παρέχεται μέσω χρηματοδοτικού μέσου το οποίο εφαρμόζεται από την ΕΤΕπ ή από άλλον διεθνή χρηματοδοτικό οργανισμό στον οποίο ένα κράτος μέλος είναι μέτοχος, ο οργανισμός πληρωμών βασίζεται στην έκθεση ελέγχου που υποστηρίζει τις αιτήσεις πληρωμής τις οποίες υποβάλλει η ΕΤΕπ ή άλλος διεθνής οργανισμός.</w:t>
      </w:r>
    </w:p>
    <w:p w:rsidR="00A57BFD" w:rsidRDefault="005B0D19">
      <w:pPr>
        <w:pStyle w:val="Titrearticle1"/>
        <w:rPr>
          <w:b/>
          <w:noProof/>
        </w:rPr>
      </w:pPr>
      <w:r>
        <w:rPr>
          <w:noProof/>
        </w:rPr>
        <w:t>Άρθρο 9</w:t>
      </w:r>
      <w:r>
        <w:rPr>
          <w:noProof/>
        </w:rPr>
        <w:br/>
      </w:r>
      <w:r>
        <w:rPr>
          <w:b/>
          <w:noProof/>
        </w:rPr>
        <w:t>Αρμόδια αρχή</w:t>
      </w:r>
    </w:p>
    <w:p w:rsidR="00A57BFD" w:rsidRDefault="005B0D19">
      <w:pPr>
        <w:pStyle w:val="ManualNumPar1"/>
        <w:rPr>
          <w:noProof/>
        </w:rPr>
      </w:pPr>
      <w:r>
        <w:t>1.</w:t>
      </w:r>
      <w:r>
        <w:tab/>
      </w:r>
      <w:r>
        <w:rPr>
          <w:noProof/>
        </w:rPr>
        <w:t>Τα κράτη μέλη ορίζουν μία αρχή σε υπουργικό επίπεδο που είναι υπεύθυνη για:</w:t>
      </w:r>
    </w:p>
    <w:p w:rsidR="00A57BFD" w:rsidRDefault="005B0D19">
      <w:pPr>
        <w:pStyle w:val="Point10"/>
        <w:rPr>
          <w:noProof/>
        </w:rPr>
      </w:pPr>
      <w:r>
        <w:rPr>
          <w:noProof/>
        </w:rPr>
        <w:t>α)</w:t>
      </w:r>
      <w:r>
        <w:rPr>
          <w:noProof/>
        </w:rPr>
        <w:tab/>
        <w:t>την έκδοση, αναθεώρηση και ανάκληση της διαπίστευσης των οργανισμών πληρωμών που αναφέρεται στο άρθρο 8 παράγραφος 2·</w:t>
      </w:r>
    </w:p>
    <w:p w:rsidR="00A57BFD" w:rsidRDefault="005B0D19">
      <w:pPr>
        <w:pStyle w:val="Point10"/>
        <w:rPr>
          <w:noProof/>
        </w:rPr>
      </w:pPr>
      <w:r>
        <w:rPr>
          <w:noProof/>
        </w:rPr>
        <w:t>β)</w:t>
      </w:r>
      <w:r>
        <w:rPr>
          <w:noProof/>
        </w:rPr>
        <w:tab/>
        <w:t>τη διαπίστευση του οργανισμού συντονισμού που αναφέρεται στο άρθρο 8 παράγραφος 4·</w:t>
      </w:r>
    </w:p>
    <w:p w:rsidR="00A57BFD" w:rsidRDefault="005B0D19">
      <w:pPr>
        <w:pStyle w:val="Point10"/>
        <w:rPr>
          <w:noProof/>
        </w:rPr>
      </w:pPr>
      <w:r>
        <w:rPr>
          <w:noProof/>
        </w:rPr>
        <w:t>γ)</w:t>
      </w:r>
      <w:r>
        <w:rPr>
          <w:noProof/>
        </w:rPr>
        <w:tab/>
        <w:t>τον ορισμό του οργανισμού πιστοποίησης που αναφέρεται στο άρθρο 11·</w:t>
      </w:r>
    </w:p>
    <w:p w:rsidR="00A57BFD" w:rsidRDefault="005B0D19">
      <w:pPr>
        <w:pStyle w:val="Point10"/>
        <w:rPr>
          <w:noProof/>
        </w:rPr>
      </w:pPr>
      <w:r>
        <w:rPr>
          <w:noProof/>
        </w:rPr>
        <w:t>δ)</w:t>
      </w:r>
      <w:r>
        <w:rPr>
          <w:noProof/>
        </w:rPr>
        <w:tab/>
        <w:t>την εκτέλεση των καθηκόντων που ανατίθενται στην αρμόδια αρχή κατ’ εφαρμογή του παρόντος κεφαλαίου.</w:t>
      </w:r>
    </w:p>
    <w:p w:rsidR="00A57BFD" w:rsidRDefault="005B0D19">
      <w:pPr>
        <w:pStyle w:val="ManualNumPar1"/>
        <w:rPr>
          <w:noProof/>
        </w:rPr>
      </w:pPr>
      <w:r>
        <w:lastRenderedPageBreak/>
        <w:t>2.</w:t>
      </w:r>
      <w:r>
        <w:tab/>
      </w:r>
      <w:r>
        <w:rPr>
          <w:noProof/>
        </w:rPr>
        <w:t>Η αρμόδια αρχή αποφασίζει, με επίσημη πράξη, την έκδοση ή, κατόπιν επανεξέτασης, την ανάκληση της διαπίστευσης του οργανισμού πληρωμών και του οργανισμού συντονισμού με βάση την εξέταση των κριτηρίων διαπίστευσης που εγκρίνονται από την Επιτροπή σύμφωνα με το άρθρο 10 παράγραφος 1 στοιχείο α). Η αρμόδια αρχή ενημερώνει αμελλητί την Επιτροπή για τις διαπιστεύσεις και τις ανακλήσεις των διαπιστεύσεων.</w:t>
      </w:r>
    </w:p>
    <w:p w:rsidR="00A57BFD" w:rsidRDefault="005B0D19">
      <w:pPr>
        <w:pStyle w:val="Titrearticle1"/>
        <w:rPr>
          <w:noProof/>
        </w:rPr>
      </w:pPr>
      <w:r>
        <w:rPr>
          <w:noProof/>
        </w:rPr>
        <w:t>Άρθρο 10</w:t>
      </w:r>
      <w:r>
        <w:rPr>
          <w:noProof/>
        </w:rPr>
        <w:br/>
      </w:r>
      <w:r>
        <w:rPr>
          <w:b/>
          <w:noProof/>
        </w:rPr>
        <w:t>Εξουσίες της Επιτροπής</w:t>
      </w:r>
    </w:p>
    <w:p w:rsidR="00A57BFD" w:rsidRDefault="005B0D19">
      <w:pPr>
        <w:pStyle w:val="ManualNumPar1"/>
        <w:rPr>
          <w:noProof/>
        </w:rPr>
      </w:pPr>
      <w:r>
        <w:t>1.</w:t>
      </w:r>
      <w:r>
        <w:tab/>
      </w:r>
      <w:r>
        <w:rPr>
          <w:noProof/>
        </w:rPr>
        <w:t>Ανατίθεται στην Επιτροπή η εξουσία να εκδίδει κατ’ εξουσιοδότηση πράξεις σύμφωνα με το άρθρο 100 που συμπληρώνουν τον παρόντα κανονισμό με κανόνες σχετικά με:</w:t>
      </w:r>
    </w:p>
    <w:p w:rsidR="00A57BFD" w:rsidRDefault="005B0D19">
      <w:pPr>
        <w:pStyle w:val="Point10"/>
        <w:rPr>
          <w:noProof/>
        </w:rPr>
      </w:pPr>
      <w:r>
        <w:rPr>
          <w:noProof/>
        </w:rPr>
        <w:t>α)</w:t>
      </w:r>
      <w:r>
        <w:rPr>
          <w:noProof/>
        </w:rPr>
        <w:tab/>
        <w:t>τους ελάχιστους όρους για τη διαπίστευση των οργανισμών πληρωμών, σύμφωνα με το άρθρο 8 παράγραφος 2, και των οργανισμών συντονισμού, σύμφωνα με το άρθρο 8 παράγραφος 4·</w:t>
      </w:r>
    </w:p>
    <w:p w:rsidR="00A57BFD" w:rsidRDefault="005B0D19">
      <w:pPr>
        <w:pStyle w:val="Point10"/>
        <w:rPr>
          <w:noProof/>
        </w:rPr>
      </w:pPr>
      <w:r>
        <w:rPr>
          <w:noProof/>
        </w:rPr>
        <w:t>β)</w:t>
      </w:r>
      <w:r>
        <w:rPr>
          <w:noProof/>
        </w:rPr>
        <w:tab/>
        <w:t>τις υποχρεώσεις των οργανισμών πληρωμών όσον αφορά τη δημόσια παρέμβαση, καθώς και τους κανόνες σχετικά με το περιεχόμενο των αρμοδιοτήτων τους όσον αφορά τη διαχείριση και τον έλεγχο.</w:t>
      </w:r>
    </w:p>
    <w:p w:rsidR="00A57BFD" w:rsidRDefault="005B0D19">
      <w:pPr>
        <w:pStyle w:val="ManualNumPar1"/>
        <w:rPr>
          <w:noProof/>
        </w:rPr>
      </w:pPr>
      <w:r>
        <w:t>2.</w:t>
      </w:r>
      <w:r>
        <w:tab/>
      </w:r>
      <w:r>
        <w:rPr>
          <w:noProof/>
        </w:rPr>
        <w:t>Η Επιτροπή εκδίδει εκτελεστικές πράξεις για τη θέσπιση κανόνων σχετικά με:</w:t>
      </w:r>
    </w:p>
    <w:p w:rsidR="00A57BFD" w:rsidRDefault="005B0D19">
      <w:pPr>
        <w:pStyle w:val="Point10"/>
        <w:rPr>
          <w:noProof/>
        </w:rPr>
      </w:pPr>
      <w:r>
        <w:rPr>
          <w:noProof/>
        </w:rPr>
        <w:t>α)</w:t>
      </w:r>
      <w:r>
        <w:rPr>
          <w:noProof/>
        </w:rPr>
        <w:tab/>
        <w:t>τις διαδικασίες για την έκδοση, ανάκληση και αναθεώρηση της διαπίστευσης οργανισμών πληρωμών και οργανισμών συντονισμού, καθώς και τις διαδικασίες για την εποπτεία της διαπίστευσης των οργανισμών πληρωμών·</w:t>
      </w:r>
    </w:p>
    <w:p w:rsidR="00A57BFD" w:rsidRDefault="005B0D19">
      <w:pPr>
        <w:pStyle w:val="Point10"/>
        <w:rPr>
          <w:noProof/>
        </w:rPr>
      </w:pPr>
      <w:r>
        <w:rPr>
          <w:noProof/>
        </w:rPr>
        <w:t>β)</w:t>
      </w:r>
      <w:r>
        <w:rPr>
          <w:noProof/>
        </w:rPr>
        <w:tab/>
        <w:t>τις εργασίες και τους ελέγχους στους οποίους βασίζεται η διαχειριστική δήλωση των οργανισμών πληρωμών, που αναφέρεται στο άρθρο 8 παράγραφος 3 στοιχείο γ)·</w:t>
      </w:r>
    </w:p>
    <w:p w:rsidR="00A57BFD" w:rsidRDefault="005B0D19">
      <w:pPr>
        <w:pStyle w:val="Point10"/>
        <w:rPr>
          <w:noProof/>
        </w:rPr>
      </w:pPr>
      <w:r>
        <w:rPr>
          <w:noProof/>
        </w:rPr>
        <w:t>γ)</w:t>
      </w:r>
      <w:r>
        <w:rPr>
          <w:noProof/>
        </w:rPr>
        <w:tab/>
        <w:t>τη λειτουργία του οργανισμού συντονισμού και την κοινοποίηση στοιχείων στην Επιτροπή, σύμφωνα με το άρθρο 8 παράγραφος 4.</w:t>
      </w:r>
    </w:p>
    <w:p w:rsidR="00A57BFD" w:rsidRDefault="005B0D19">
      <w:pPr>
        <w:pStyle w:val="Text1"/>
        <w:rPr>
          <w:noProof/>
        </w:rPr>
      </w:pPr>
      <w:r>
        <w:rPr>
          <w:noProof/>
        </w:rPr>
        <w:t>Οι εν λόγω εκτελεστικές πράξεις εκδίδονται σύμφωνα με τη διαδικασία εξέτασης που προβλέπεται στο άρθρο 101 παράγραφος 3.</w:t>
      </w:r>
    </w:p>
    <w:p w:rsidR="00A57BFD" w:rsidRDefault="005B0D19">
      <w:pPr>
        <w:pStyle w:val="Titrearticle1"/>
        <w:rPr>
          <w:b/>
          <w:noProof/>
        </w:rPr>
      </w:pPr>
      <w:r>
        <w:rPr>
          <w:noProof/>
        </w:rPr>
        <w:t>Άρθρο 11</w:t>
      </w:r>
      <w:r>
        <w:rPr>
          <w:noProof/>
        </w:rPr>
        <w:br/>
      </w:r>
      <w:r>
        <w:rPr>
          <w:b/>
          <w:noProof/>
        </w:rPr>
        <w:t>Οργανισμοί πιστοποίησης</w:t>
      </w:r>
    </w:p>
    <w:p w:rsidR="00A57BFD" w:rsidRDefault="005B0D19">
      <w:pPr>
        <w:pStyle w:val="ManualNumPar1"/>
        <w:rPr>
          <w:noProof/>
        </w:rPr>
      </w:pPr>
      <w:r>
        <w:t>1.</w:t>
      </w:r>
      <w:r>
        <w:tab/>
      </w:r>
      <w:r>
        <w:rPr>
          <w:noProof/>
        </w:rPr>
        <w:t xml:space="preserve">Ο οργανισμός πιστοποίησης είναι δημόσιος ή ιδιωτικός οργανισμός ελέγχου που ορίζεται από το κράτος μέλος για περίοδο τουλάχιστον τριών ετών, με την επιφύλαξη της εθνικής νομοθεσίας. Όταν ο οργανισμός ελέγχου είναι ιδιωτικός και όταν αυτό επιβάλλεται από το εφαρμοστέο ενωσιακό ή εθνικό δίκαιο, επιλέγεται από το κράτος μέλος μέσω δημόσιας διαδικασίας υποβολής προσφορών. </w:t>
      </w:r>
    </w:p>
    <w:p w:rsidR="00A57BFD" w:rsidRDefault="005B0D19">
      <w:pPr>
        <w:pStyle w:val="Text1"/>
        <w:rPr>
          <w:noProof/>
        </w:rPr>
      </w:pPr>
      <w:r>
        <w:rPr>
          <w:noProof/>
        </w:rPr>
        <w:t>Για τους σκοπούς του άρθρου 63 παράγραφος 7 πρώτο εδάφιο του δημοσιονομικού κανονισμού, ο οργανισμός πιστοποίησης παρέχει γνωμοδότηση η οποία συντάσσεται σύμφωνα με τα διεθνώς αποδεκτά ελεγκτικά πρότυπα και διευκρινίζει κατά πόσον:</w:t>
      </w:r>
    </w:p>
    <w:p w:rsidR="00A57BFD" w:rsidRDefault="005B0D19">
      <w:pPr>
        <w:pStyle w:val="Point10"/>
        <w:rPr>
          <w:noProof/>
        </w:rPr>
      </w:pPr>
      <w:r>
        <w:rPr>
          <w:noProof/>
        </w:rPr>
        <w:t>α)</w:t>
      </w:r>
      <w:r>
        <w:rPr>
          <w:noProof/>
        </w:rPr>
        <w:tab/>
        <w:t xml:space="preserve">η εικόνα που παρέχουν οι λογαριασμοί είναι ακριβής και αληθής· </w:t>
      </w:r>
    </w:p>
    <w:p w:rsidR="00A57BFD" w:rsidRDefault="005B0D19">
      <w:pPr>
        <w:pStyle w:val="Point10"/>
        <w:rPr>
          <w:noProof/>
        </w:rPr>
      </w:pPr>
      <w:r>
        <w:rPr>
          <w:noProof/>
        </w:rPr>
        <w:t>β)</w:t>
      </w:r>
      <w:r>
        <w:rPr>
          <w:noProof/>
        </w:rPr>
        <w:tab/>
        <w:t xml:space="preserve">τα συστήματα διακυβέρνησης που έχουν θέσει σε εφαρμογή τα κράτη μέλη λειτουργούν σωστά· </w:t>
      </w:r>
    </w:p>
    <w:p w:rsidR="00A57BFD" w:rsidRDefault="005B0D19">
      <w:pPr>
        <w:pStyle w:val="Point10"/>
        <w:rPr>
          <w:noProof/>
        </w:rPr>
      </w:pPr>
      <w:r>
        <w:rPr>
          <w:noProof/>
        </w:rPr>
        <w:lastRenderedPageBreak/>
        <w:t>γ)</w:t>
      </w:r>
      <w:r>
        <w:rPr>
          <w:noProof/>
        </w:rPr>
        <w:tab/>
        <w:t>οι εκθέσεις επιδόσεων σχετικά με τους δείκτες εκροών για τους σκοπούς της ετήσιας εκκαθάρισης επιδόσεων που αναφέρεται στο άρθρο 52 και οι εκθέσεις επιδόσεων επί των δεικτών αποτελεσμάτων για την πολυετή παρακολούθηση επιδόσεων που αναφέρεται στο άρθρο 115 του κανονισμού (ΕΕ) …/… [κανονισμός για το στρατηγικό σχέδιο της ΚΓΠ],</w:t>
      </w:r>
      <w:r>
        <w:rPr>
          <w:b/>
          <w:noProof/>
        </w:rPr>
        <w:t xml:space="preserve"> </w:t>
      </w:r>
      <w:r>
        <w:rPr>
          <w:noProof/>
        </w:rPr>
        <w:t>που αποδεικνύουν την τήρηση του άρθρου 35 του παρόντος κανονισμού, ευσταθούν·</w:t>
      </w:r>
    </w:p>
    <w:p w:rsidR="00A57BFD" w:rsidRDefault="005B0D19">
      <w:pPr>
        <w:pStyle w:val="Point10"/>
        <w:rPr>
          <w:noProof/>
        </w:rPr>
      </w:pPr>
      <w:r>
        <w:rPr>
          <w:noProof/>
        </w:rPr>
        <w:t>δ)</w:t>
      </w:r>
      <w:r>
        <w:rPr>
          <w:noProof/>
        </w:rPr>
        <w:tab/>
        <w:t>οι δαπάνες για τα μέτρα που προβλέπονται στον κανονισμό (ΕΕ) αριθ. 1308/2013, για τις οποίες έχει ζητηθεί επιστροφή από την Επιτροπή, είναι νόμιμες και κανονικές.</w:t>
      </w:r>
    </w:p>
    <w:p w:rsidR="00A57BFD" w:rsidRDefault="005B0D19">
      <w:pPr>
        <w:pStyle w:val="Text1"/>
        <w:rPr>
          <w:noProof/>
        </w:rPr>
      </w:pPr>
      <w:r>
        <w:rPr>
          <w:noProof/>
        </w:rPr>
        <w:t>Στη γνωμοδότηση αυτή αναφέρεται επίσης εάν η εξέταση θέτει υπό αμφισβήτηση το περιεχόμενο της διαχειριστικής δήλωσης που αναφέρεται στο άρθρο 8 παράγραφος 3 στοιχείο γ).</w:t>
      </w:r>
    </w:p>
    <w:p w:rsidR="00A57BFD" w:rsidRDefault="005B0D19">
      <w:pPr>
        <w:pStyle w:val="Text1"/>
        <w:rPr>
          <w:noProof/>
        </w:rPr>
      </w:pPr>
      <w:r>
        <w:rPr>
          <w:noProof/>
        </w:rPr>
        <w:t>Όταν η στήριξη παρέχεται μέσω χρηματοδοτικού μέσου που εφαρμόζεται από την ΕΤΕπ ή από άλλο διεθνή χρηματοδοτικό οργανισμό στον οποίο ένα κράτος μέλος είναι μέτοχος, ο οργανισμός πιστοποίησης βασίζεται στην ετήσια έκθεση ελέγχου που καταρτίζεται από τους εξωτερικούς ελεγκτές αυτών των οργανισμών.</w:t>
      </w:r>
    </w:p>
    <w:p w:rsidR="00A57BFD" w:rsidRDefault="005B0D19">
      <w:pPr>
        <w:pStyle w:val="ManualNumPar1"/>
        <w:rPr>
          <w:noProof/>
        </w:rPr>
      </w:pPr>
      <w:r>
        <w:t>2.</w:t>
      </w:r>
      <w:r>
        <w:tab/>
      </w:r>
      <w:r>
        <w:rPr>
          <w:noProof/>
        </w:rPr>
        <w:t>O οργανισμός πιστοποίησης διαθέτει την αναγκαία τεχνική εμπειρογνωμοσύνη. Λειτουργεί ανεξάρτητα από τον οργανισμό πληρωμών και τον σχετικό οργανισμό συντονισμού, καθώς και από την αρχή η οποία διαπίστευσε τον οργανισμό αυτό και από τους φορείς που είναι αρμόδιοι για την εφαρμογή και την παρακολούθηση της ΚΓΠ.</w:t>
      </w:r>
    </w:p>
    <w:p w:rsidR="00A57BFD" w:rsidRDefault="005B0D19">
      <w:pPr>
        <w:pStyle w:val="ManualNumPar1"/>
        <w:rPr>
          <w:noProof/>
        </w:rPr>
      </w:pPr>
      <w:bookmarkStart w:id="44" w:name="ai2j2n9p2q1ra1"/>
      <w:bookmarkStart w:id="45" w:name="ai2j2n9p2q1"/>
      <w:r>
        <w:t>3.</w:t>
      </w:r>
      <w:r>
        <w:tab/>
      </w:r>
      <w:r>
        <w:rPr>
          <w:noProof/>
        </w:rPr>
        <w:t>Η Επιτροπή εκδίδει εκτελεστικές πράξεις για τον καθορισμό κανόνων σχετικά με τα καθήκοντα των οργανισμών πιστοποίησης, συμπεριλαμβανομένων των ελέγχων που πρέπει να διενεργούνται και των οργανισμών που υπόκεινται στους εν λόγω ελέγχους, καθώς και σχετικά με τα πιστοποιητικά και τις εκθέσεις και τα συνοδευτικά έγγραφα που πρέπει να συντάσσουν οι οργανισμοί αυτοί.</w:t>
      </w:r>
    </w:p>
    <w:p w:rsidR="00A57BFD" w:rsidRDefault="005B0D19">
      <w:pPr>
        <w:pStyle w:val="Text1"/>
        <w:rPr>
          <w:noProof/>
        </w:rPr>
      </w:pPr>
      <w:r>
        <w:rPr>
          <w:noProof/>
        </w:rPr>
        <w:t>Οι εκτελεστικές πράξεις καθορίζουν επίσης:</w:t>
      </w:r>
    </w:p>
    <w:p w:rsidR="00A57BFD" w:rsidRDefault="005B0D19">
      <w:pPr>
        <w:pStyle w:val="Point10"/>
        <w:rPr>
          <w:noProof/>
        </w:rPr>
      </w:pPr>
      <w:bookmarkStart w:id="46" w:name="ai2j2n9p2q1ra1q1"/>
      <w:r>
        <w:rPr>
          <w:noProof/>
        </w:rPr>
        <w:t>α)</w:t>
      </w:r>
      <w:r>
        <w:rPr>
          <w:noProof/>
        </w:rPr>
        <w:tab/>
        <w:t>τις αρχές ελέγχου στις οποίες βασίζονται οι γνωμοδοτήσεις του οργανισμού πιστοποίησης, συμπεριλαμβανομένων της αξιολόγησης των κινδύνων, των εσωτερικών ελέγχων και του απαιτούμενου επιπέδου αποδεικτικών στοιχείων του ελέγχου·</w:t>
      </w:r>
      <w:bookmarkEnd w:id="44"/>
      <w:bookmarkEnd w:id="46"/>
    </w:p>
    <w:p w:rsidR="00A57BFD" w:rsidRDefault="005B0D19">
      <w:pPr>
        <w:pStyle w:val="Point10"/>
        <w:rPr>
          <w:noProof/>
        </w:rPr>
      </w:pPr>
      <w:bookmarkStart w:id="47" w:name="ai2j2n9p2q1ra2"/>
      <w:bookmarkStart w:id="48" w:name="ai2j2n9p2q1ra2q1"/>
      <w:r>
        <w:rPr>
          <w:noProof/>
        </w:rPr>
        <w:t>β)</w:t>
      </w:r>
      <w:r>
        <w:rPr>
          <w:noProof/>
        </w:rPr>
        <w:tab/>
        <w:t>τις μεθόδους ελέγχου που πρέπει να χρησιμοποιούνται από τους οργανισμούς πιστοποίησης, λαμβάνοντας υπόψη τα διεθνή πρότυπα ελέγχου, για την έκδοση των γνωμοδοτήσεών τους.</w:t>
      </w:r>
      <w:bookmarkEnd w:id="45"/>
      <w:bookmarkEnd w:id="47"/>
      <w:bookmarkEnd w:id="48"/>
    </w:p>
    <w:p w:rsidR="00A57BFD" w:rsidRDefault="005B0D19">
      <w:pPr>
        <w:pStyle w:val="Text1"/>
        <w:rPr>
          <w:noProof/>
        </w:rPr>
      </w:pPr>
      <w:bookmarkStart w:id="49" w:name="ai2j2n9p2q2"/>
      <w:r>
        <w:rPr>
          <w:noProof/>
        </w:rPr>
        <w:t>Οι εν λόγω εκτελεστικές πράξεις εκδίδονται σύμφωνα με τη διαδικασία εξέτασης που προβλέπεται στο άρθρο</w:t>
      </w:r>
      <w:bookmarkEnd w:id="49"/>
      <w:r>
        <w:rPr>
          <w:noProof/>
        </w:rPr>
        <w:t> 101 παράγραφος 3.</w:t>
      </w:r>
    </w:p>
    <w:p w:rsidR="00A57BFD" w:rsidRDefault="005B0D19">
      <w:pPr>
        <w:pStyle w:val="PartTitle"/>
        <w:rPr>
          <w:noProof/>
        </w:rPr>
      </w:pPr>
      <w:r>
        <w:rPr>
          <w:noProof/>
        </w:rPr>
        <w:lastRenderedPageBreak/>
        <w:t>ΤΙΤΛΟΣ III</w:t>
      </w:r>
      <w:r>
        <w:rPr>
          <w:noProof/>
        </w:rPr>
        <w:br/>
        <w:t>Δημοσιονομική διαχείριση των ταμείων</w:t>
      </w:r>
    </w:p>
    <w:p w:rsidR="00A57BFD" w:rsidRDefault="005B0D19">
      <w:pPr>
        <w:pStyle w:val="ChapterTitle0"/>
        <w:rPr>
          <w:noProof/>
        </w:rPr>
      </w:pPr>
      <w:r>
        <w:rPr>
          <w:noProof/>
        </w:rPr>
        <w:t>ΚΕΦΑΛΑΙΟ I</w:t>
      </w:r>
      <w:r>
        <w:rPr>
          <w:noProof/>
        </w:rPr>
        <w:br/>
        <w:t>ΕΓΤΕ</w:t>
      </w:r>
    </w:p>
    <w:p w:rsidR="00A57BFD" w:rsidRDefault="005B0D19">
      <w:pPr>
        <w:pStyle w:val="SectionTitle"/>
        <w:rPr>
          <w:noProof/>
        </w:rPr>
      </w:pPr>
      <w:r>
        <w:rPr>
          <w:noProof/>
        </w:rPr>
        <w:t xml:space="preserve"> Τμήμα 1</w:t>
      </w:r>
      <w:r>
        <w:rPr>
          <w:noProof/>
        </w:rPr>
        <w:br/>
        <w:t>Δημοσιονομική πειθαρχία</w:t>
      </w:r>
    </w:p>
    <w:p w:rsidR="00A57BFD" w:rsidRDefault="005B0D19">
      <w:pPr>
        <w:pStyle w:val="Titrearticle1"/>
        <w:rPr>
          <w:b/>
          <w:noProof/>
        </w:rPr>
      </w:pPr>
      <w:r>
        <w:rPr>
          <w:noProof/>
        </w:rPr>
        <w:t>Άρθρο 12</w:t>
      </w:r>
      <w:r>
        <w:rPr>
          <w:noProof/>
        </w:rPr>
        <w:br/>
      </w:r>
      <w:r>
        <w:rPr>
          <w:b/>
          <w:noProof/>
        </w:rPr>
        <w:t>Δημοσιονομικό ανώτατο όριο</w:t>
      </w:r>
    </w:p>
    <w:p w:rsidR="00A57BFD" w:rsidRDefault="005B0D19">
      <w:pPr>
        <w:pStyle w:val="ManualNumPar1"/>
        <w:rPr>
          <w:noProof/>
        </w:rPr>
      </w:pPr>
      <w:r>
        <w:t>1.</w:t>
      </w:r>
      <w:r>
        <w:tab/>
      </w:r>
      <w:r>
        <w:rPr>
          <w:noProof/>
        </w:rPr>
        <w:t>Το ετήσιο ανώτατο όριο για τις δαπάνες του ΕΓΤΕ καθορίζεται από τα ανώτατα ποσά που προβλέπονται για το ταμείο αυτό στον κανονισμό (ΕΕ, Ευρατόμ)[COM(2018) 322 final].</w:t>
      </w:r>
    </w:p>
    <w:p w:rsidR="00A57BFD" w:rsidRDefault="005B0D19">
      <w:pPr>
        <w:pStyle w:val="ManualNumPar1"/>
        <w:rPr>
          <w:noProof/>
        </w:rPr>
      </w:pPr>
      <w:r>
        <w:t>2.</w:t>
      </w:r>
      <w:r>
        <w:tab/>
      </w:r>
      <w:r>
        <w:rPr>
          <w:noProof/>
        </w:rPr>
        <w:t>Σε περίπτωση που η νομοθεσία της Ένωσης προβλέπει προσθαφαίρεση σε/από τα ποσά που αναφέρονται στην παράγραφο 1, η Επιτροπή εκδίδει εκτελεστικές πράξεις χωρίς εφαρμογή της διαδικασίας του άρθρου 101, με τις οποίες καθορίζεται το καθαρό υπόλοιπο που είναι διαθέσιμο για τις δαπάνες του ΕΓΤΕ βάσει των στοιχείων που αναφέρονται στη νομοθεσία της Ένωσης.</w:t>
      </w:r>
    </w:p>
    <w:p w:rsidR="00A57BFD" w:rsidRDefault="005B0D19">
      <w:pPr>
        <w:pStyle w:val="Titrearticle1"/>
        <w:rPr>
          <w:b/>
          <w:noProof/>
        </w:rPr>
      </w:pPr>
      <w:r>
        <w:rPr>
          <w:noProof/>
        </w:rPr>
        <w:t>Άρθρο 13</w:t>
      </w:r>
      <w:r>
        <w:rPr>
          <w:noProof/>
        </w:rPr>
        <w:br/>
      </w:r>
      <w:r>
        <w:rPr>
          <w:b/>
          <w:noProof/>
        </w:rPr>
        <w:t>Τήρηση του ανώτατου ορίου</w:t>
      </w:r>
    </w:p>
    <w:p w:rsidR="00A57BFD" w:rsidRDefault="005B0D19">
      <w:pPr>
        <w:pStyle w:val="ManualNumPar1"/>
        <w:rPr>
          <w:noProof/>
        </w:rPr>
      </w:pPr>
      <w:r>
        <w:t>1.</w:t>
      </w:r>
      <w:r>
        <w:tab/>
      </w:r>
      <w:r>
        <w:rPr>
          <w:noProof/>
        </w:rPr>
        <w:t>Όταν η ενωσιακή νομοθεσία προβλέπει για ένα κράτος μέλος δημοσιονομικό ανώτατο όριο για τις γεωργικές δαπάνες σε ευρώ, οι σχετικές δαπάνες επιστρέφονται στο εν λόγω κράτος μέλος εντός του καθορισμένου σε ευρώ ανώτατου ορίου, και, ως επακόλουθο της τυχόν εφαρμογής των άρθρων 37 έως 40, ενδεχομένως ύστερα από αναπροσαρμογή.</w:t>
      </w:r>
    </w:p>
    <w:p w:rsidR="00A57BFD" w:rsidRDefault="005B0D19">
      <w:pPr>
        <w:pStyle w:val="ManualNumPar1"/>
        <w:rPr>
          <w:noProof/>
        </w:rPr>
      </w:pPr>
      <w:r>
        <w:t>2.</w:t>
      </w:r>
      <w:r>
        <w:tab/>
      </w:r>
      <w:r>
        <w:rPr>
          <w:noProof/>
        </w:rPr>
        <w:t>Τα κονδύλια των κρατών μελών για παρεμβάσεις με μορφή άμεσων ενισχύσεων που αναφέρονται στο άρθρο 81 του κανονισμού (ΕΕ) …/… [κανονισμός για το στρατηγικό σχέδιο της ΚΓΠ], διορθωμένα κατά τις αναπροσαρμογές του άρθρου 15 του παρόντος κανονισμού, θεωρούνται δημοσιονομικά ανώτατα όρια σε ευρώ.</w:t>
      </w:r>
    </w:p>
    <w:p w:rsidR="00A57BFD" w:rsidRDefault="005B0D19">
      <w:pPr>
        <w:pStyle w:val="Titrearticle1"/>
        <w:rPr>
          <w:b/>
          <w:noProof/>
        </w:rPr>
      </w:pPr>
      <w:r>
        <w:rPr>
          <w:noProof/>
        </w:rPr>
        <w:t>Άρθρο 14</w:t>
      </w:r>
      <w:r>
        <w:rPr>
          <w:noProof/>
        </w:rPr>
        <w:br/>
      </w:r>
      <w:r>
        <w:rPr>
          <w:b/>
          <w:noProof/>
        </w:rPr>
        <w:t>Γεωργικό αποθεματικό</w:t>
      </w:r>
    </w:p>
    <w:p w:rsidR="00A57BFD" w:rsidRDefault="005B0D19">
      <w:pPr>
        <w:pStyle w:val="ManualNumPar1"/>
        <w:rPr>
          <w:noProof/>
        </w:rPr>
      </w:pPr>
      <w:r>
        <w:t>1.</w:t>
      </w:r>
      <w:r>
        <w:tab/>
      </w:r>
      <w:r>
        <w:rPr>
          <w:noProof/>
        </w:rPr>
        <w:t xml:space="preserve">Στην αρχή κάθε έτους καταρτίζεται στο ΕΓΤΕ αποθεματικό που προορίζεται να παράσχει συμπληρωματική στήριξη στον γεωργικό τομέα με σκοπό τη διαχείριση ή τη σταθεροποίηση της αγοράς ή σε περίπτωση κρίσεων που επηρεάζουν τη γεωργική παραγωγή ή τη διανομή («γεωργικό αποθεματικό»). </w:t>
      </w:r>
    </w:p>
    <w:p w:rsidR="00A57BFD" w:rsidRDefault="005B0D19">
      <w:pPr>
        <w:pStyle w:val="Text1"/>
        <w:rPr>
          <w:noProof/>
        </w:rPr>
      </w:pPr>
      <w:r>
        <w:rPr>
          <w:noProof/>
        </w:rPr>
        <w:t xml:space="preserve">Οι πιστώσεις για το γεωργικό αποθεματικό εγγράφονται απευθείας στον προϋπολογισμό της Ένωσης.  </w:t>
      </w:r>
    </w:p>
    <w:p w:rsidR="00A57BFD" w:rsidRDefault="005B0D19">
      <w:pPr>
        <w:pStyle w:val="Text1"/>
        <w:rPr>
          <w:noProof/>
        </w:rPr>
      </w:pPr>
      <w:r>
        <w:rPr>
          <w:noProof/>
        </w:rPr>
        <w:t>Τα κονδύλια του γεωργικού αποθεματικού διατίθενται για τα μέτρα που προβλέπονται στα άρθρα 8 έως 21 και 219, 220 και 221 του κανονισμού (ΕΕ) αριθ. 1308/2013 για το έτος ή τα έτη για τα οποία απαιτείται η πρόσθετη στήριξη.</w:t>
      </w:r>
    </w:p>
    <w:p w:rsidR="00A57BFD" w:rsidRDefault="005B0D19">
      <w:pPr>
        <w:pStyle w:val="ManualNumPar1"/>
        <w:rPr>
          <w:noProof/>
        </w:rPr>
      </w:pPr>
      <w:r>
        <w:lastRenderedPageBreak/>
        <w:t>2.</w:t>
      </w:r>
      <w:r>
        <w:tab/>
      </w:r>
      <w:r>
        <w:rPr>
          <w:noProof/>
        </w:rPr>
        <w:t>Το ποσό του γεωργικού αποθεματικού ανέρχεται σε τουλάχιστον 400 εκατ. EUR σε τρέχουσες τιμές στην αρχή κάθε έτους της περιόδου 2021-2027. Η Επιτροπή δύναται να προσαρμόζει το ποσό του γεωργικού αποθεματικού κατά τη διάρκεια του έτους, εφόσον αυτό ενδείκνυται, λαμβάνοντας υπόψη τις εξελίξεις ή τις προοπτικές της αγοράς κατά το τρέχον ή το επόμενο έτος και λαμβάνοντας υπόψη τις διαθέσιμες πιστώσεις του ΕΓΤΕ.</w:t>
      </w:r>
    </w:p>
    <w:p w:rsidR="00A57BFD" w:rsidRDefault="005B0D19">
      <w:pPr>
        <w:pStyle w:val="Text1"/>
        <w:rPr>
          <w:noProof/>
        </w:rPr>
      </w:pPr>
      <w:r>
        <w:rPr>
          <w:noProof/>
        </w:rPr>
        <w:t xml:space="preserve">Κατά παρέκκλιση από το άρθρο 12 παράγραφος 2 στοιχείο δ) του δημοσιονομικού κανονισμού, οι μη δεσμευθείσες πιστώσεις του γεωργικού αποθεματικού μεταφέρονται χωρίς χρονικό περιορισμό για τη χρηματοδότηση του γεωργικού αποθεματικού κατά τα επόμενα οικονομικά έτη. </w:t>
      </w:r>
    </w:p>
    <w:p w:rsidR="00A57BFD" w:rsidRDefault="005B0D19">
      <w:pPr>
        <w:pStyle w:val="Text1"/>
        <w:rPr>
          <w:b/>
          <w:noProof/>
        </w:rPr>
      </w:pPr>
      <w:r>
        <w:rPr>
          <w:noProof/>
        </w:rPr>
        <w:t>Επιπλέον, κατά παρέκκλιση από το άρθρο 12 παράγραφος 2 στοιχείο δ) του δημοσιονομικού κανονισμού, το συνολικό μη χρησιμοποιηθέν ποσό του αποθεματικού κρίσεων που είναι διαθέσιμο στο τέλος του έτους 2020 μεταφέρεται στο έτος 2021, χωρίς να επιστραφεί στις γραμμές του προϋπολογισμού που καλύπτουν τις ενέργειες οι οποίες αναφέρονται στο άρθρο 5 παράγραφος 2 στοιχείο γ), και διατίθεται για τη χρηματοδότηση του γεωργικού αποθεματικού.</w:t>
      </w:r>
    </w:p>
    <w:p w:rsidR="00A57BFD" w:rsidRDefault="005B0D19">
      <w:pPr>
        <w:pStyle w:val="Titrearticle2"/>
        <w:rPr>
          <w:noProof/>
        </w:rPr>
      </w:pPr>
      <w:r>
        <w:rPr>
          <w:noProof/>
        </w:rPr>
        <w:t>Άρθρο 15</w:t>
      </w:r>
      <w:r>
        <w:rPr>
          <w:noProof/>
        </w:rPr>
        <w:br/>
      </w:r>
      <w:r>
        <w:rPr>
          <w:b/>
          <w:noProof/>
        </w:rPr>
        <w:t>Δημοσιονομική πειθαρχία</w:t>
      </w:r>
    </w:p>
    <w:p w:rsidR="00A57BFD" w:rsidRDefault="005B0D19">
      <w:pPr>
        <w:pStyle w:val="ManualNumPar1"/>
        <w:rPr>
          <w:noProof/>
        </w:rPr>
      </w:pPr>
      <w:r>
        <w:t>1.</w:t>
      </w:r>
      <w:r>
        <w:tab/>
      </w:r>
      <w:r>
        <w:rPr>
          <w:noProof/>
        </w:rPr>
        <w:t>Η Επιτροπή καθορίζει ένα ποσοστό αναπροσαρμογής για τις παρεμβάσεις υπό μορφή άμεσων ενισχύσεων οι οποίες αναφέρονται στο άρθρο 5 παράγραφος 2 στοιχείο γ) του παρόντος κανονισμού και για τη χρηματοδοτική συνεισφορά της Ένωσης στα ειδικά μέτρα, η οποία αναφέρεται στο άρθρο 5 παράγραφος 2 στοιχείο στ) του παρόντος κανονισμού και παρέχεται δυνάμει του κεφαλαίου IV του κανονισμού (ΕΕ) αριθ. 228/2013 και του κεφαλαίου IV του κανονισμού (ΕΕ) αριθ. 229/2013 («ποσοστό αναπροσαρμογής»), όταν οι προβλέψεις για τη χρηματοδότηση των παρεμβάσεων και των μέτρων που χρηματοδοτούνται βάσει αυτού του επιμέρους ανώτατου ορίου για δεδομένο οικονομικό έτος δείχνουν ότι θα σημειωθεί υπέρβαση των εφαρμοστέων ετήσιων ανωτάτων ορίων.</w:t>
      </w:r>
    </w:p>
    <w:p w:rsidR="00A57BFD" w:rsidRDefault="005B0D19">
      <w:pPr>
        <w:pStyle w:val="Text1"/>
        <w:rPr>
          <w:noProof/>
        </w:rPr>
      </w:pPr>
      <w:r>
        <w:rPr>
          <w:noProof/>
        </w:rPr>
        <w:t>Η Επιτροπή εκδίδει εκτελεστικές πράξεις για τον καθορισμό του ποσοστού αναπροσαρμογής μέχρι τις 30 Ιουνίου του ημερολογιακού έτους για το οποίο εφαρμόζεται το ποσοστό αναπροσαρμογής. Οι εν λόγω εκτελεστικές πράξεις εκδίδονται με τη συμβουλευτική διαδικασία που αναφέρεται στο άρθρο 101 παράγραφος 2.</w:t>
      </w:r>
    </w:p>
    <w:p w:rsidR="00A57BFD" w:rsidRDefault="005B0D19">
      <w:pPr>
        <w:pStyle w:val="ManualNumPar1"/>
        <w:rPr>
          <w:noProof/>
        </w:rPr>
      </w:pPr>
      <w:r>
        <w:t>2.</w:t>
      </w:r>
      <w:r>
        <w:tab/>
      </w:r>
      <w:r>
        <w:rPr>
          <w:noProof/>
        </w:rPr>
        <w:t>Μέχρι την 1η Δεκεμβρίου του ημερολογιακού έτους για το οποίο εφαρμόζεται το ποσοστό αναπροσαρμογής, η Επιτροπή δύναται, βάσει νέων στοιχείων, να εκδίδει εκτελεστικές πράξεις για την προσαρμογή του ποσοστού αναπροσαρμογής που καθορίζεται σύμφωνα με την παράγραφο 1. Οι εν λόγω εκτελεστικές πράξεις εκδίδονται με τη συμβουλευτική διαδικασία που αναφέρεται στο άρθρο 101 παράγραφος 2.</w:t>
      </w:r>
    </w:p>
    <w:p w:rsidR="00A57BFD" w:rsidRDefault="005B0D19">
      <w:pPr>
        <w:pStyle w:val="ManualNumPar1"/>
        <w:rPr>
          <w:noProof/>
        </w:rPr>
      </w:pPr>
      <w:r>
        <w:t>3.</w:t>
      </w:r>
      <w:r>
        <w:tab/>
      </w:r>
      <w:r>
        <w:rPr>
          <w:noProof/>
        </w:rPr>
        <w:t xml:space="preserve">Σε περίπτωση εφαρμογής της δημοσιονομικής πειθαρχίας, οι πιστώσεις που μεταφέρονται σύμφωνα με το άρθρο 12 παράγραφος 2 στοιχείο δ) του δημοσιονομικού κανονισμού χρησιμοποιούνται για τη χρηματοδότηση δαπανών στο πλαίσιο του άρθρου 5 παράγραφος 2 στοιχείο γ) του παρόντος κανονισμού, στο μέτρο που είναι αναγκαίο για την αποφυγή επανειλημμένης εφαρμογής δημοσιονομικής πειθαρχίας. </w:t>
      </w:r>
    </w:p>
    <w:p w:rsidR="00A57BFD" w:rsidRDefault="005B0D19">
      <w:pPr>
        <w:pStyle w:val="Text1"/>
        <w:rPr>
          <w:noProof/>
        </w:rPr>
      </w:pPr>
      <w:r>
        <w:rPr>
          <w:noProof/>
        </w:rPr>
        <w:lastRenderedPageBreak/>
        <w:t xml:space="preserve">Όταν παραμένουν διαθέσιμες οι πιστώσεις που πρόκειται να μεταφερθούν σύμφωνα με το πρώτο εδάφιο, η Επιτροπή δύναται να εκδίδει εκτελεστικές πράξεις που καθορίζουν, ανά κράτος μέλος, τα ποσά των μη δεσμευθεισών πιστώσεων που επιστρέφονται στους τελικούς δικαιούχους, εκτός εάν το συνολικό ποσό των μη δεσμευθεισών πιστώσεων που διατίθενται για επιστροφή αντιπροσωπεύει λιγότερο από το 0,2 % του ετήσιου ανώτατου ορίου για τις δαπάνες του ΕΓΤΕ. </w:t>
      </w:r>
    </w:p>
    <w:p w:rsidR="00A57BFD" w:rsidRDefault="005B0D19">
      <w:pPr>
        <w:pStyle w:val="Text1"/>
        <w:rPr>
          <w:noProof/>
        </w:rPr>
      </w:pPr>
      <w:r>
        <w:rPr>
          <w:noProof/>
        </w:rPr>
        <w:t>Οι εν λόγω εκτελεστικές πράξεις εκδίδονται με τη συμβουλευτική διαδικασία που αναφέρεται στο άρθρο 101 παράγραφος 2.</w:t>
      </w:r>
    </w:p>
    <w:p w:rsidR="00A57BFD" w:rsidRDefault="005B0D19">
      <w:pPr>
        <w:pStyle w:val="ManualNumPar1"/>
        <w:rPr>
          <w:noProof/>
        </w:rPr>
      </w:pPr>
      <w:r>
        <w:t>4.</w:t>
      </w:r>
      <w:r>
        <w:tab/>
      </w:r>
      <w:r>
        <w:rPr>
          <w:noProof/>
        </w:rPr>
        <w:t>Τα ποσά που ορίζει η Επιτροπή σύμφωνα με το δεύτερο εδάφιο της παραγράφου 3 επιστρέφονται στους τελικούς δικαιούχους από τα κράτη μέλη σύμφωνα με αντικειμενικά και αμερόληπτα κριτήρια. Τα κράτη μέλη μπορούν να εφαρμόσουν ένα κατώτατο όριο για το ύψος των ποσών επιστροφής ανά τελικό δικαιούχο.</w:t>
      </w:r>
    </w:p>
    <w:p w:rsidR="00A57BFD" w:rsidRDefault="005B0D19">
      <w:pPr>
        <w:pStyle w:val="Text1"/>
        <w:rPr>
          <w:noProof/>
        </w:rPr>
      </w:pPr>
      <w:r>
        <w:rPr>
          <w:noProof/>
        </w:rPr>
        <w:t>Η επιστροφή που αναφέρεται στο πρώτο εδάφιο εφαρμόζεται μόνο στους τελικούς δικαιούχους στα κράτη μέλη όπου εφαρμόστηκε δημοσιονομική πειθαρχία κατά το προηγούμενο οικονομικό έτος.</w:t>
      </w:r>
    </w:p>
    <w:p w:rsidR="00A57BFD" w:rsidRDefault="005B0D19">
      <w:pPr>
        <w:pStyle w:val="ManualNumPar1"/>
        <w:rPr>
          <w:noProof/>
        </w:rPr>
      </w:pPr>
      <w:r>
        <w:t>5.</w:t>
      </w:r>
      <w:r>
        <w:tab/>
      </w:r>
      <w:r>
        <w:rPr>
          <w:noProof/>
        </w:rPr>
        <w:t>Ως αποτέλεσμα της σταδιακής καθιέρωσης παρεμβάσεων υπό μορφή άμεσων ενισχύσεων που προβλέπεται στο άρθρο 140 παράγραφος 2 του κανονισμού ... / ... [σταδιακή εφαρμογή του στρατηγικού σχεδίου της ΚΓΠ], η δημοσιονομική πειθαρχία εφαρμόζεται στην Κροατία από την 1η Ιανουαρίου 2022.</w:t>
      </w:r>
    </w:p>
    <w:p w:rsidR="00A57BFD" w:rsidRDefault="005B0D19">
      <w:pPr>
        <w:pStyle w:val="ManualNumPar1"/>
        <w:rPr>
          <w:noProof/>
        </w:rPr>
      </w:pPr>
      <w:r>
        <w:t>6.</w:t>
      </w:r>
      <w:r>
        <w:tab/>
      </w:r>
      <w:r>
        <w:rPr>
          <w:noProof/>
        </w:rPr>
        <w:t>Η Επιτροπή εξουσιοδοτείται να εκδίδει κατ’ εξουσιοδότηση πράξεις σύμφωνα με το άρθρο 100 με σκοπό τη συμπλήρωση του παρόντος κανονισμού με κανόνες για τον υπολογισμό της δημοσιονομικής πειθαρχίας που πρέπει να εφαρμόζουν τα κράτη μέλη στους γεωργούς.</w:t>
      </w:r>
    </w:p>
    <w:p w:rsidR="00A57BFD" w:rsidRDefault="005B0D19">
      <w:pPr>
        <w:pStyle w:val="Titrearticle1"/>
        <w:rPr>
          <w:b/>
          <w:noProof/>
        </w:rPr>
      </w:pPr>
      <w:r>
        <w:rPr>
          <w:noProof/>
        </w:rPr>
        <w:t>Άρθρο 16</w:t>
      </w:r>
      <w:r>
        <w:rPr>
          <w:noProof/>
        </w:rPr>
        <w:br/>
      </w:r>
      <w:r>
        <w:rPr>
          <w:b/>
          <w:noProof/>
        </w:rPr>
        <w:t>Διαδικασία δημοσιονομικής πειθαρχίας</w:t>
      </w:r>
    </w:p>
    <w:p w:rsidR="00A57BFD" w:rsidRDefault="005B0D19">
      <w:pPr>
        <w:pStyle w:val="ManualNumPar1"/>
        <w:rPr>
          <w:noProof/>
        </w:rPr>
      </w:pPr>
      <w:r>
        <w:t>1.</w:t>
      </w:r>
      <w:r>
        <w:tab/>
      </w:r>
      <w:r>
        <w:rPr>
          <w:noProof/>
        </w:rPr>
        <w:t>Εάν κατά την κατάρτιση του σχεδίου προϋπολογισμού για το οικονομικό έτος N προκύψει ότι υπάρχει κίνδυνος να σημειωθεί υπέρβαση του ποσού που αναφέρεται στο άρθρο 12 για το οικονομικό έτος N, η Επιτροπή προτείνει στο Ευρωπαϊκό Κοινοβούλιο και το Συμβούλιο ή στο Συμβούλιο τα μέτρα που είναι αναγκαία για την εξασφάλιση της τήρησης του ποσού αυτού.</w:t>
      </w:r>
    </w:p>
    <w:p w:rsidR="00A57BFD" w:rsidRDefault="005B0D19">
      <w:pPr>
        <w:pStyle w:val="ManualNumPar1"/>
        <w:rPr>
          <w:noProof/>
        </w:rPr>
      </w:pPr>
      <w:r>
        <w:t>2.</w:t>
      </w:r>
      <w:r>
        <w:tab/>
      </w:r>
      <w:r>
        <w:rPr>
          <w:noProof/>
        </w:rPr>
        <w:t>Εάν, οποιαδήποτε στιγμή, η Επιτροπή κρίνει ότι υπάρχει κίνδυνος υπέρβασης του ποσού που αναφέρεται στο άρθρο 12 και η ίδια αδυνατεί να λάβει επαρκή μέτρα για να διορθώσει την κατάσταση, προτείνει άλλα μέτρα για να εξασφαλιστεί η τήρηση του εν λόγω ποσού. Τα μέτρα αυτά θεσπίζονται από το Συμβούλιο όταν η νομική βάση του σχετικού μέτρου είναι το άρθρο 43 παράγραφος 3 της Συνθήκης ή από το Ευρωπαϊκό Κοινοβούλιο και το Συμβούλιο όταν η νομική βάση του σχετικού μέτρου είναι το άρθρο 43 παράγραφος 2 της Συνθήκης.</w:t>
      </w:r>
    </w:p>
    <w:p w:rsidR="00A57BFD" w:rsidRDefault="005B0D19">
      <w:pPr>
        <w:pStyle w:val="ManualNumPar1"/>
        <w:rPr>
          <w:noProof/>
        </w:rPr>
      </w:pPr>
      <w:r>
        <w:t>3.</w:t>
      </w:r>
      <w:r>
        <w:tab/>
      </w:r>
      <w:r>
        <w:rPr>
          <w:noProof/>
        </w:rPr>
        <w:t>Εάν στο τέλος του οικονομικού έτους N οι αιτήσεις επιστροφών των κρατών μελών υπερβαίνουν ή είναι πιθανόν να υπερβούν το ποσό που έχει καθοριστεί σύμφωνα με το άρθρο 12, η Επιτροπή:</w:t>
      </w:r>
    </w:p>
    <w:p w:rsidR="00A57BFD" w:rsidRDefault="005B0D19">
      <w:pPr>
        <w:pStyle w:val="Point10"/>
        <w:rPr>
          <w:noProof/>
        </w:rPr>
      </w:pPr>
      <w:r>
        <w:rPr>
          <w:noProof/>
        </w:rPr>
        <w:t>α)</w:t>
      </w:r>
      <w:r>
        <w:rPr>
          <w:noProof/>
        </w:rPr>
        <w:tab/>
        <w:t>λαμβάνει υπόψη τις αιτήσεις που έχουν υποβληθεί από τα κράτη μέλη κατ’ αναλογία με βάση τον διαθέσιμο προϋπολογισμό και εκδίδει εκτελεστικές πράξεις για τον προσωρινό καθορισμό του ποσού των πληρωμών για τον εξεταζόμενο μήνα,</w:t>
      </w:r>
    </w:p>
    <w:p w:rsidR="00A57BFD" w:rsidRDefault="005B0D19">
      <w:pPr>
        <w:pStyle w:val="Point10"/>
        <w:rPr>
          <w:noProof/>
        </w:rPr>
      </w:pPr>
      <w:r>
        <w:rPr>
          <w:noProof/>
        </w:rPr>
        <w:lastRenderedPageBreak/>
        <w:t>β)</w:t>
      </w:r>
      <w:r>
        <w:rPr>
          <w:noProof/>
        </w:rPr>
        <w:tab/>
        <w:t>έως και τις 28 Φεβρουαρίου του οικονομικού έτους N + 1, προσδιορίζει την κατάσταση όλων των κρατών μελών όσον αφορά την ενωσιακή χρηματοδότηση για το οικονομικό έτος N,</w:t>
      </w:r>
    </w:p>
    <w:p w:rsidR="00A57BFD" w:rsidRDefault="005B0D19">
      <w:pPr>
        <w:pStyle w:val="Point10"/>
        <w:rPr>
          <w:noProof/>
        </w:rPr>
      </w:pPr>
      <w:r>
        <w:rPr>
          <w:noProof/>
        </w:rPr>
        <w:t>γ)</w:t>
      </w:r>
      <w:r>
        <w:rPr>
          <w:noProof/>
        </w:rPr>
        <w:tab/>
        <w:t>εκδίδει εκτελεστική πράξη για τον καθορισμό του συνολικού ποσού της ενωσιακής χρηματοδότησης, κατανεμημένο ανά κράτος μέλος, με βάση ενιαίο ποσοστό ενωσιακής χρηματοδότησης λαμβάνοντας υπόψη τον προϋπολογισμό που ήταν διαθέσιμος για τις μηνιαίες πληρωμές,</w:t>
      </w:r>
    </w:p>
    <w:p w:rsidR="00A57BFD" w:rsidRDefault="005B0D19">
      <w:pPr>
        <w:pStyle w:val="Point10"/>
        <w:rPr>
          <w:noProof/>
        </w:rPr>
      </w:pPr>
      <w:r>
        <w:rPr>
          <w:noProof/>
        </w:rPr>
        <w:t>δ)</w:t>
      </w:r>
      <w:r>
        <w:rPr>
          <w:noProof/>
        </w:rPr>
        <w:tab/>
        <w:t>προβαίνει στις ενδεχόμενες αντισταθμίσεις μεταξύ των κρατών μελών, το αργότερο κατά την εκτέλεση των μηνιαίων πληρωμών για τον Μάρτιο του έτους N + 1.</w:t>
      </w:r>
    </w:p>
    <w:p w:rsidR="00A57BFD" w:rsidRDefault="005B0D19">
      <w:pPr>
        <w:pStyle w:val="Text1"/>
        <w:rPr>
          <w:noProof/>
        </w:rPr>
      </w:pPr>
      <w:r>
        <w:rPr>
          <w:noProof/>
        </w:rPr>
        <w:t>Οι εκτελεστικές πράξεις που προβλέπονται στα στοιχεία α) και γ) του πρώτου εδαφίου εκδίδονται σύμφωνα με τη συμβουλευτική διαδικασία που αναφέρεται στο άρθρο 101 παράγραφος 2.</w:t>
      </w:r>
    </w:p>
    <w:p w:rsidR="00A57BFD" w:rsidRDefault="005B0D19">
      <w:pPr>
        <w:pStyle w:val="Titrearticle1"/>
        <w:rPr>
          <w:b/>
          <w:noProof/>
        </w:rPr>
      </w:pPr>
      <w:r>
        <w:rPr>
          <w:noProof/>
        </w:rPr>
        <w:t>Άρθρο 17</w:t>
      </w:r>
      <w:r>
        <w:rPr>
          <w:noProof/>
        </w:rPr>
        <w:br/>
      </w:r>
      <w:r>
        <w:rPr>
          <w:b/>
          <w:noProof/>
        </w:rPr>
        <w:t>Σύστημα έγκαιρης προειδοποίησης και παρακολούθησης</w:t>
      </w:r>
    </w:p>
    <w:p w:rsidR="00A57BFD" w:rsidRDefault="005B0D19">
      <w:pPr>
        <w:rPr>
          <w:noProof/>
        </w:rPr>
      </w:pPr>
      <w:r>
        <w:rPr>
          <w:noProof/>
        </w:rPr>
        <w:t>Για να μη σημειώνεται υπέρβαση του δημοσιονομικού ανώτατου ορίου που αναφέρεται στο άρθρο 12, η Επιτροπή εφαρμόζει σύστημα έγκαιρης προειδοποίησης και παρακολούθησης των δαπανών του ΕΓΤΕ σε μηνιαία βάση.</w:t>
      </w:r>
    </w:p>
    <w:p w:rsidR="00A57BFD" w:rsidRDefault="005B0D19">
      <w:pPr>
        <w:rPr>
          <w:noProof/>
        </w:rPr>
      </w:pPr>
      <w:r>
        <w:rPr>
          <w:noProof/>
        </w:rPr>
        <w:t>Για τον σκοπό αυτό, στην αρχή κάθε οικονομικού έτους, η Επιτροπή καθορίζει τις αναμενόμενες μηνιαίες δαπάνες, βασιζόμενη, εάν το κρίνει απαραίτητο, στον μέσο όρο των μηνιαίων δαπανών κατά τα τρία προηγούμενα έτη.</w:t>
      </w:r>
    </w:p>
    <w:p w:rsidR="00A57BFD" w:rsidRDefault="005B0D19">
      <w:pPr>
        <w:rPr>
          <w:noProof/>
        </w:rPr>
      </w:pPr>
      <w:r>
        <w:rPr>
          <w:noProof/>
        </w:rPr>
        <w:t>Η Επιτροπή υποβάλλει περιοδικά στο Ευρωπαϊκό Κοινοβούλιο και στο Συμβούλιο έκθεση στην οποία εξετάζεται η εξέλιξη των δαπανών που πραγματοποιήθηκαν σε σχέση με την αναμενόμενη και παρατίθεται εκτίμηση της προβλεπόμενης εκτέλεσης για το τρέχον οικονομικό έτος.</w:t>
      </w:r>
    </w:p>
    <w:p w:rsidR="00A57BFD" w:rsidRDefault="005B0D19">
      <w:pPr>
        <w:pStyle w:val="SectionTitle"/>
        <w:rPr>
          <w:noProof/>
        </w:rPr>
      </w:pPr>
      <w:r>
        <w:rPr>
          <w:noProof/>
        </w:rPr>
        <w:t>Τμήμα 2</w:t>
      </w:r>
      <w:r>
        <w:rPr>
          <w:noProof/>
        </w:rPr>
        <w:br/>
        <w:t>Χρηματοδότηση των δαπανών</w:t>
      </w:r>
    </w:p>
    <w:p w:rsidR="00A57BFD" w:rsidRDefault="005B0D19">
      <w:pPr>
        <w:pStyle w:val="Titrearticle1"/>
        <w:rPr>
          <w:b/>
          <w:noProof/>
        </w:rPr>
      </w:pPr>
      <w:r>
        <w:rPr>
          <w:noProof/>
        </w:rPr>
        <w:t>Άρθρο 18</w:t>
      </w:r>
      <w:r>
        <w:rPr>
          <w:noProof/>
        </w:rPr>
        <w:br/>
      </w:r>
      <w:r>
        <w:rPr>
          <w:b/>
          <w:noProof/>
        </w:rPr>
        <w:t>Μηνιαίες πληρωμές</w:t>
      </w:r>
    </w:p>
    <w:p w:rsidR="00A57BFD" w:rsidRDefault="005B0D19">
      <w:pPr>
        <w:pStyle w:val="ManualNumPar1"/>
        <w:rPr>
          <w:noProof/>
        </w:rPr>
      </w:pPr>
      <w:r>
        <w:t>1.</w:t>
      </w:r>
      <w:r>
        <w:tab/>
      </w:r>
      <w:r>
        <w:rPr>
          <w:noProof/>
        </w:rPr>
        <w:t xml:space="preserve">Οι αναγκαίες πιστώσεις για τη χρηματοδότηση των δαπανών που αναφέρονται στο άρθρο 5 παράγραφος 2 τίθενται στη διάθεση των κρατών μελών από την Επιτροπή με τη μορφή μηνιαίων πληρωμών, με βάση τις δαπάνες των διαπιστευμένων οργανισμών πληρωμών στη διάρκεια περιόδου αναφοράς. </w:t>
      </w:r>
    </w:p>
    <w:p w:rsidR="00A57BFD" w:rsidRDefault="005B0D19">
      <w:pPr>
        <w:pStyle w:val="ManualNumPar1"/>
        <w:rPr>
          <w:noProof/>
        </w:rPr>
      </w:pPr>
      <w:r>
        <w:t>2.</w:t>
      </w:r>
      <w:r>
        <w:tab/>
      </w:r>
      <w:r>
        <w:rPr>
          <w:noProof/>
        </w:rPr>
        <w:t>Μέχρι η Επιτροπή να καταβάλει τα ποσά των μηνιαίων πληρωμών, οι αναγκαίοι πόροι για την κάλυψη των δαπανών συγκεντρώνονται από τα κράτη μέλη ανάλογα με τις ανάγκες των οικείων διαπιστευμένων οργανισμών πληρωμών.</w:t>
      </w:r>
    </w:p>
    <w:p w:rsidR="00A57BFD" w:rsidRDefault="005B0D19">
      <w:pPr>
        <w:pStyle w:val="Titrearticle1"/>
        <w:rPr>
          <w:b/>
          <w:noProof/>
        </w:rPr>
      </w:pPr>
      <w:r>
        <w:rPr>
          <w:noProof/>
        </w:rPr>
        <w:t>Άρθρο 19</w:t>
      </w:r>
      <w:r>
        <w:rPr>
          <w:noProof/>
        </w:rPr>
        <w:br/>
      </w:r>
      <w:r>
        <w:rPr>
          <w:b/>
          <w:noProof/>
        </w:rPr>
        <w:t>Διαδικασία εκτέλεσης των μηνιαίων πληρωμών</w:t>
      </w:r>
    </w:p>
    <w:p w:rsidR="00A57BFD" w:rsidRDefault="005B0D19">
      <w:pPr>
        <w:pStyle w:val="ManualNumPar1"/>
        <w:rPr>
          <w:noProof/>
        </w:rPr>
      </w:pPr>
      <w:r>
        <w:t>1.</w:t>
      </w:r>
      <w:r>
        <w:tab/>
      </w:r>
      <w:r>
        <w:rPr>
          <w:noProof/>
        </w:rPr>
        <w:t>Με την επιφύλαξη των άρθρων 51, 52 και 53, οι μηνιαίες πληρωμές εκτελούνται από την Επιτροπή για τις δαπάνες που πραγματοποίησαν οι διαπιστευμένοι οργανισμοί πληρωμών στη διάρκεια του μήνα αναφοράς.</w:t>
      </w:r>
    </w:p>
    <w:p w:rsidR="00A57BFD" w:rsidRDefault="005B0D19">
      <w:pPr>
        <w:pStyle w:val="ManualNumPar1"/>
        <w:rPr>
          <w:noProof/>
        </w:rPr>
      </w:pPr>
      <w:r>
        <w:lastRenderedPageBreak/>
        <w:t>2.</w:t>
      </w:r>
      <w:r>
        <w:tab/>
      </w:r>
      <w:r>
        <w:rPr>
          <w:noProof/>
        </w:rPr>
        <w:t>Οι μηνιαίες πληρωμές καταβάλλονται σε κάθε κράτος μέλος έως και την τρίτη εργάσιμη ημέρα του μεθεπόμενου μήνα από εκείνον στη διάρκεια του οποίου πραγματοποιήθηκαν οι δαπάνες, λαμβάνοντας υπόψη τις μειώσεις ή τις αναστολές που επιβάλλονται σύμφωνα με τα άρθρα 37 έως 40 ή άλλες διορθώσεις. Οι δαπάνες των κρατών μελών από την 1η έως τις 15 Οκτωβρίου εντάσσονται στον Οκτώβριο. Οι δαπάνες από τις 16 έως τις 31 Οκτωβρίου εντάσσονται στον Νοέμβριο.</w:t>
      </w:r>
    </w:p>
    <w:p w:rsidR="00A57BFD" w:rsidRDefault="005B0D19">
      <w:pPr>
        <w:pStyle w:val="ManualNumPar1"/>
        <w:rPr>
          <w:noProof/>
        </w:rPr>
      </w:pPr>
      <w:r>
        <w:t>3.</w:t>
      </w:r>
      <w:r>
        <w:tab/>
      </w:r>
      <w:r>
        <w:rPr>
          <w:noProof/>
        </w:rPr>
        <w:t>Η Επιτροπή εκδίδει εκτελεστικές πράξεις σχετικά με τις μηνιαίες πληρωμές που εκτελεί, βάσει δήλωσης δαπανών των κρατών μελών και των στοιχείων που της παρέχονται σύμφωνα με το άρθρο 88 παράγραφος 1.</w:t>
      </w:r>
    </w:p>
    <w:p w:rsidR="00A57BFD" w:rsidRDefault="005B0D19">
      <w:pPr>
        <w:pStyle w:val="ManualNumPar1"/>
        <w:rPr>
          <w:noProof/>
        </w:rPr>
      </w:pPr>
      <w:r>
        <w:t>4.</w:t>
      </w:r>
      <w:r>
        <w:tab/>
      </w:r>
      <w:r>
        <w:rPr>
          <w:noProof/>
        </w:rPr>
        <w:t xml:space="preserve">Η Επιτροπή ενημερώνει αμέσως το κράτος μέλος σχετικά με ενδεχόμενες υπερβάσεις των δημοσιονομικών ανώτατων ορίων από το κράτος μέλος. </w:t>
      </w:r>
    </w:p>
    <w:p w:rsidR="00A57BFD" w:rsidRDefault="005B0D19">
      <w:pPr>
        <w:pStyle w:val="ManualNumPar1"/>
        <w:rPr>
          <w:noProof/>
        </w:rPr>
      </w:pPr>
      <w:r>
        <w:t>5.</w:t>
      </w:r>
      <w:r>
        <w:tab/>
      </w:r>
      <w:r>
        <w:rPr>
          <w:noProof/>
        </w:rPr>
        <w:t xml:space="preserve">Η Επιτροπή εκδίδει τις εκτελεστικές πράξεις που καθορίζουν τις μηνιαίες πληρωμές και αναφέρονται στην παράγραφο 3, χωρίς να εφαρμόζεται η διαδικασία που αναφέρεται στο άρθρο 101.  </w:t>
      </w:r>
    </w:p>
    <w:p w:rsidR="00A57BFD" w:rsidRDefault="005B0D19">
      <w:pPr>
        <w:pStyle w:val="ManualNumPar1"/>
        <w:rPr>
          <w:noProof/>
        </w:rPr>
      </w:pPr>
      <w:r>
        <w:t>6.</w:t>
      </w:r>
      <w:r>
        <w:tab/>
      </w:r>
      <w:r>
        <w:rPr>
          <w:noProof/>
        </w:rPr>
        <w:t xml:space="preserve">Η Επιτροπή δύναται να εκδώσει εκτελεστικές πράξεις με τις οποίες καθορίζονται συμπληρωματικές πληρωμές ή μειώσεις, προσαρμόζοντας τις πληρωμές που πραγματοποιούνται σύμφωνα με την παράγραφο 3, χωρίς να εφαρμόζεται η διαδικασία που αναφέρεται στο άρθρο 101. </w:t>
      </w:r>
    </w:p>
    <w:p w:rsidR="00A57BFD" w:rsidRDefault="005B0D19">
      <w:pPr>
        <w:pStyle w:val="Titrearticle1"/>
        <w:rPr>
          <w:b/>
          <w:noProof/>
        </w:rPr>
      </w:pPr>
      <w:r>
        <w:rPr>
          <w:noProof/>
        </w:rPr>
        <w:t>Άρθρο 20</w:t>
      </w:r>
      <w:r>
        <w:rPr>
          <w:noProof/>
        </w:rPr>
        <w:br/>
      </w:r>
      <w:r>
        <w:rPr>
          <w:b/>
          <w:noProof/>
        </w:rPr>
        <w:t>Διοικητικά έξοδα και έξοδα προσωπικού</w:t>
      </w:r>
    </w:p>
    <w:p w:rsidR="00A57BFD" w:rsidRDefault="005B0D19">
      <w:pPr>
        <w:rPr>
          <w:noProof/>
        </w:rPr>
      </w:pPr>
      <w:r>
        <w:rPr>
          <w:noProof/>
        </w:rPr>
        <w:t>Οι δαπάνες που συνδέονται με τα διοικητικά έξοδα και τα έξοδα προσωπικού των κρατών μελών και των δικαιούχων της ενίσχυσης που παρέχεται από το ΕΓΤΕ δεν αναλαμβάνονται από το Ταμείο.</w:t>
      </w:r>
    </w:p>
    <w:p w:rsidR="00A57BFD" w:rsidRDefault="005B0D19">
      <w:pPr>
        <w:pStyle w:val="Titrearticle1"/>
        <w:rPr>
          <w:b/>
          <w:noProof/>
        </w:rPr>
      </w:pPr>
      <w:r>
        <w:rPr>
          <w:noProof/>
        </w:rPr>
        <w:t>Άρθρο 21</w:t>
      </w:r>
      <w:r>
        <w:rPr>
          <w:noProof/>
        </w:rPr>
        <w:br/>
      </w:r>
      <w:r>
        <w:rPr>
          <w:b/>
          <w:noProof/>
        </w:rPr>
        <w:t>Δαπάνες για τη δημόσια παρέμβαση</w:t>
      </w:r>
    </w:p>
    <w:p w:rsidR="00A57BFD" w:rsidRDefault="005B0D19">
      <w:pPr>
        <w:pStyle w:val="ManualNumPar1"/>
        <w:rPr>
          <w:noProof/>
        </w:rPr>
      </w:pPr>
      <w:r>
        <w:t>1.</w:t>
      </w:r>
      <w:r>
        <w:tab/>
      </w:r>
      <w:r>
        <w:rPr>
          <w:noProof/>
        </w:rPr>
        <w:t xml:space="preserve">Όταν στο πλαίσιο κοινής οργάνωσης της αγοράς δεν έχει καθοριστεί ποσό ανά μονάδα για τη δημόσια παρέμβαση, το ΕΓΤΕ χρηματοδοτεί το σχετικό μέτρο με βάση ενιαία κατ’ αποκοπή ποσά, ιδίως για τους πόρους των κρατών μελών που χρησιμοποιούνται για την αγορά προϊόντων, για τις φυσικές ενέργειες που προκύπτουν από την αποθεματοποίηση και, κατά περίπτωση, για τη μεταποίηση προϊόντων επιλέξιμων για παρέμβαση, όπως αναφέρεται στο άρθρο 11 του κανονισμού (ΕΕ) αριθ. 1308/2013. </w:t>
      </w:r>
    </w:p>
    <w:p w:rsidR="00A57BFD" w:rsidRDefault="005B0D19">
      <w:pPr>
        <w:pStyle w:val="ManualNumPar1"/>
        <w:rPr>
          <w:noProof/>
        </w:rPr>
      </w:pPr>
      <w:r>
        <w:t>2.</w:t>
      </w:r>
      <w:r>
        <w:tab/>
      </w:r>
      <w:r>
        <w:rPr>
          <w:noProof/>
        </w:rPr>
        <w:t>Ανατίθεται στην Επιτροπή η εξουσία να εκδίδει κατ’ εξουσιοδότηση πράξεις σύμφωνα με το άρθρο 100 με σκοπό τη συμπλήρωση του παρόντος κανονισμού με κανόνες σχετικά με:</w:t>
      </w:r>
    </w:p>
    <w:p w:rsidR="00A57BFD" w:rsidRDefault="005B0D19">
      <w:pPr>
        <w:pStyle w:val="Point10"/>
        <w:rPr>
          <w:noProof/>
        </w:rPr>
      </w:pPr>
      <w:r>
        <w:rPr>
          <w:noProof/>
        </w:rPr>
        <w:t>α)</w:t>
      </w:r>
      <w:r>
        <w:rPr>
          <w:noProof/>
        </w:rPr>
        <w:tab/>
        <w:t>το είδος των μέτρων που είναι επιλέξιμα για ενωσιακή χρηματοδότηση και τους όρους επιστροφής των δαπανών·</w:t>
      </w:r>
    </w:p>
    <w:p w:rsidR="00A57BFD" w:rsidRDefault="005B0D19">
      <w:pPr>
        <w:pStyle w:val="Point10"/>
        <w:rPr>
          <w:noProof/>
        </w:rPr>
      </w:pPr>
      <w:r>
        <w:rPr>
          <w:noProof/>
        </w:rPr>
        <w:t>β)</w:t>
      </w:r>
      <w:r>
        <w:rPr>
          <w:noProof/>
        </w:rPr>
        <w:tab/>
        <w:t>τους όρους επιλεξιμότητας και τις μεθόδους υπολογισμού με βάση τα στοιχεία που όντως διαπιστώνονται από τους οργανισμούς πληρωμών ή με βάση κατ’ αποκοπή ποσά, προσδιοριζόμενα από την Επιτροπή, ή με βάση κατ’ αποκοπή ποσά ή μη κατ’ αποκοπή ποσά προβλεπόμενα από την τομεακή γεωργική νομοθεσία.</w:t>
      </w:r>
    </w:p>
    <w:p w:rsidR="00A57BFD" w:rsidRDefault="005B0D19">
      <w:pPr>
        <w:pStyle w:val="ManualNumPar1"/>
        <w:rPr>
          <w:noProof/>
        </w:rPr>
      </w:pPr>
      <w:r>
        <w:t>3.</w:t>
      </w:r>
      <w:r>
        <w:tab/>
      </w:r>
      <w:r>
        <w:rPr>
          <w:noProof/>
        </w:rPr>
        <w:t xml:space="preserve">Ανατίθεται στην Επιτροπή η εξουσία να εκδίδει κατ’ εξουσιοδότηση πράξεις σύμφωνα με το άρθρο 100 με σκοπό τη συμπλήρωση του παρόντος κανονισμού με </w:t>
      </w:r>
      <w:r>
        <w:rPr>
          <w:noProof/>
        </w:rPr>
        <w:lastRenderedPageBreak/>
        <w:t>κανόνες όσον αφορά την αποτίμηση των ενεργειών που αφορούν τη δημόσια παρέμβαση, τα μέτρα που πρέπει να λαμβάνονται σε περίπτωση απώλειας ή υποβάθμισης των προϊόντων στο πλαίσιο της δημόσιας παρέμβασης και τον προσδιορισμό των χρηματοδοτούμενων ποσών.</w:t>
      </w:r>
    </w:p>
    <w:p w:rsidR="00A57BFD" w:rsidRDefault="005B0D19">
      <w:pPr>
        <w:pStyle w:val="ManualNumPar1"/>
        <w:rPr>
          <w:noProof/>
        </w:rPr>
      </w:pPr>
      <w:r>
        <w:t>4.</w:t>
      </w:r>
      <w:r>
        <w:tab/>
      </w:r>
      <w:r>
        <w:rPr>
          <w:noProof/>
        </w:rPr>
        <w:t>H Επιτροπή εκδίδει εκτελεστικές πράξεις, για τον καθορισμό των ποσών που αναφέρονται στην παράγραφο 1. Οι εν λόγω εκτελεστικές πράξεις εκδίδονται με τη συμβουλευτική διαδικασία που αναφέρεται στο άρθρο 101 παράγραφος 2.</w:t>
      </w:r>
    </w:p>
    <w:p w:rsidR="00A57BFD" w:rsidRDefault="005B0D19">
      <w:pPr>
        <w:pStyle w:val="Titrearticle1"/>
        <w:rPr>
          <w:b/>
          <w:noProof/>
        </w:rPr>
      </w:pPr>
      <w:r>
        <w:rPr>
          <w:noProof/>
        </w:rPr>
        <w:t>Άρθρο 22</w:t>
      </w:r>
      <w:r>
        <w:rPr>
          <w:noProof/>
        </w:rPr>
        <w:br/>
      </w:r>
      <w:r>
        <w:rPr>
          <w:b/>
          <w:noProof/>
        </w:rPr>
        <w:t>Απόκτηση δορυφορικών δεδομένων</w:t>
      </w:r>
    </w:p>
    <w:p w:rsidR="00A57BFD" w:rsidRDefault="005B0D19">
      <w:pPr>
        <w:rPr>
          <w:noProof/>
        </w:rPr>
      </w:pPr>
      <w:r>
        <w:rPr>
          <w:noProof/>
        </w:rPr>
        <w:t>Ο κατάλογος των δορυφορικών δεδομένων που απαιτούνται για το σύστημα παρακολούθησης εκτάσεων που αναφέρεται στο άρθρο 64 παράγραφος 1 στοιχείο γ) συμφωνείται από την Επιτροπή και τα κράτη μέλη σύμφωνα με τις προδιαγραφές που συντάσσονται από κάθε κράτος μέλος.</w:t>
      </w:r>
    </w:p>
    <w:p w:rsidR="00A57BFD" w:rsidRDefault="005B0D19">
      <w:pPr>
        <w:rPr>
          <w:noProof/>
        </w:rPr>
      </w:pPr>
      <w:r>
        <w:rPr>
          <w:noProof/>
        </w:rPr>
        <w:t>Σύμφωνα με το άρθρο 7 στοιχείο β), η Επιτροπή παρέχει δωρεάν τα δορυφορικά δεδομένα στις αρχές που είναι αρμόδιες για το σύστημα παρακολούθησης εκτάσεων ή στους φορείς παροχής υπηρεσιών που έχουν εξουσιοδοτηθεί από τους εν λόγω οργανισμούς να τους αντιπροσωπεύουν.</w:t>
      </w:r>
    </w:p>
    <w:p w:rsidR="00A57BFD" w:rsidRDefault="005B0D19">
      <w:pPr>
        <w:rPr>
          <w:noProof/>
        </w:rPr>
      </w:pPr>
      <w:r>
        <w:rPr>
          <w:noProof/>
        </w:rPr>
        <w:t xml:space="preserve">Η Επιτροπή παραμένει ο ιδιοκτήτης των δορυφορικών δεδομένων και τα ανακτά μετά την ολοκλήρωση των εργασιών. </w:t>
      </w:r>
    </w:p>
    <w:p w:rsidR="00A57BFD" w:rsidRDefault="005B0D19">
      <w:pPr>
        <w:rPr>
          <w:noProof/>
        </w:rPr>
      </w:pPr>
      <w:r>
        <w:rPr>
          <w:noProof/>
        </w:rPr>
        <w:t>Η Επιτροπή μπορεί να αναθέτει σε εξειδικευμένες οντότητες την εκτέλεση εργασιών που αφορούν τεχνικές ή μεθόδους εργασίας που σχετίζονται με το σύστημα παρακολούθησης εκτάσεων το οποίο αναφέρεται στο άρθρο 64 παράγραφος 1 στοιχείο γ).</w:t>
      </w:r>
    </w:p>
    <w:p w:rsidR="00A57BFD" w:rsidRDefault="005B0D19">
      <w:pPr>
        <w:pStyle w:val="Titrearticle1"/>
        <w:rPr>
          <w:b/>
          <w:noProof/>
        </w:rPr>
      </w:pPr>
      <w:r>
        <w:rPr>
          <w:noProof/>
        </w:rPr>
        <w:t>Άρθρο 23</w:t>
      </w:r>
      <w:r>
        <w:rPr>
          <w:noProof/>
        </w:rPr>
        <w:br/>
      </w:r>
      <w:r>
        <w:rPr>
          <w:b/>
          <w:noProof/>
        </w:rPr>
        <w:t>Παρακολούθηση των γεωργικών πόρων</w:t>
      </w:r>
    </w:p>
    <w:p w:rsidR="00A57BFD" w:rsidRDefault="005B0D19">
      <w:pPr>
        <w:rPr>
          <w:noProof/>
        </w:rPr>
      </w:pPr>
      <w:r>
        <w:rPr>
          <w:noProof/>
        </w:rPr>
        <w:t>Οι δράσεις που χρηματοδοτούνται σύμφωνα με το άρθρο 7 στοιχείο γ) έχουν ως στόχο να παράσχουν στην Επιτροπή τα μέσα για να προβεί στα ακόλουθα:</w:t>
      </w:r>
    </w:p>
    <w:p w:rsidR="00A57BFD" w:rsidRDefault="005B0D19">
      <w:pPr>
        <w:pStyle w:val="Point0"/>
        <w:rPr>
          <w:noProof/>
        </w:rPr>
      </w:pPr>
      <w:r>
        <w:rPr>
          <w:noProof/>
        </w:rPr>
        <w:t>α)</w:t>
      </w:r>
      <w:r>
        <w:rPr>
          <w:noProof/>
        </w:rPr>
        <w:tab/>
        <w:t>να διαχειρίζεται τις ενωσιακές γεωργικές αγορές σε παγκόσμιο πλαίσιο,</w:t>
      </w:r>
    </w:p>
    <w:p w:rsidR="00A57BFD" w:rsidRDefault="005B0D19">
      <w:pPr>
        <w:pStyle w:val="Point0"/>
        <w:rPr>
          <w:noProof/>
        </w:rPr>
      </w:pPr>
      <w:r>
        <w:rPr>
          <w:noProof/>
        </w:rPr>
        <w:t>β)</w:t>
      </w:r>
      <w:r>
        <w:rPr>
          <w:noProof/>
        </w:rPr>
        <w:tab/>
        <w:t>να διασφαλίζει τη γεωργοοικονομική και γεωργοπεριβαλλοντική-κλιματική παρακολούθηση της χρήσης των γεωργικών εκτάσεων και της αλλαγής της χρήσης αυτής, συμπεριλαμβανομένης της γεωργοδασοκομίας, καθώς επίσης και την παρακολούθηση της κατάστασης των καλλιεργειών, ώστε να μπορεί να προβαίνει σε εκτιμήσεις, ιδίως όσον αφορά τις αποδόσεις και τη γεωργική παραγωγή, καθώς και τις συνέπειες εξαιρετικών περιστάσεων στη γεωργία,</w:t>
      </w:r>
    </w:p>
    <w:p w:rsidR="00A57BFD" w:rsidRDefault="005B0D19">
      <w:pPr>
        <w:pStyle w:val="Point0"/>
        <w:rPr>
          <w:noProof/>
        </w:rPr>
      </w:pPr>
      <w:r>
        <w:rPr>
          <w:noProof/>
        </w:rPr>
        <w:t>γ)</w:t>
      </w:r>
      <w:r>
        <w:rPr>
          <w:noProof/>
        </w:rPr>
        <w:tab/>
        <w:t>να επιτρέπει την πρόσβαση σε αυτές τις εκτιμήσεις σε διεθνές επίπεδο, όπως λ.χ. στο πλαίσιο των πρωτοβουλιών που συντονίζονται από τους οργανισμούς των Ηνωμένων Εθνών, περιλαμβανομένης της διενέργειας απογραφών των αερίων του θερμοκηπίου στο πλαίσιο της UNFCCC, ή από άλλους διεθνείς οργανισμούς,</w:t>
      </w:r>
    </w:p>
    <w:p w:rsidR="00A57BFD" w:rsidRDefault="005B0D19">
      <w:pPr>
        <w:pStyle w:val="Point0"/>
        <w:rPr>
          <w:noProof/>
        </w:rPr>
      </w:pPr>
      <w:r>
        <w:rPr>
          <w:noProof/>
        </w:rPr>
        <w:t>δ)</w:t>
      </w:r>
      <w:r>
        <w:rPr>
          <w:noProof/>
        </w:rPr>
        <w:tab/>
        <w:t xml:space="preserve">να συνεισφέρει στη διαφάνεια των παγκόσμιων αγορών, </w:t>
      </w:r>
    </w:p>
    <w:p w:rsidR="00A57BFD" w:rsidRDefault="005B0D19">
      <w:pPr>
        <w:pStyle w:val="Point0"/>
        <w:rPr>
          <w:noProof/>
        </w:rPr>
      </w:pPr>
      <w:r>
        <w:rPr>
          <w:noProof/>
        </w:rPr>
        <w:t>ε)</w:t>
      </w:r>
      <w:r>
        <w:rPr>
          <w:noProof/>
        </w:rPr>
        <w:tab/>
        <w:t>να εξασφαλίζει την τεχνολογική παρακολούθηση του γεωργομετεωρολογικού συστήματος.</w:t>
      </w:r>
    </w:p>
    <w:p w:rsidR="00A57BFD" w:rsidRDefault="005B0D19">
      <w:pPr>
        <w:rPr>
          <w:noProof/>
        </w:rPr>
      </w:pPr>
      <w:r>
        <w:rPr>
          <w:noProof/>
        </w:rPr>
        <w:t xml:space="preserve">Σύμφωνα με το άρθρο 7 στοιχείο γ), η Επιτροπή χρηματοδοτεί τις δράσεις που αφορούν τη συλλογή ή την αγορά των αναγκαίων δεδομένων για την εφαρμογή και την παρακολούθηση της ΚΓΠ, συμπεριλαμβανομένων των δορυφορικών, των γεωχωρικών και των </w:t>
      </w:r>
      <w:r>
        <w:rPr>
          <w:noProof/>
        </w:rPr>
        <w:lastRenderedPageBreak/>
        <w:t>μετεωρολογικών δεδομένων, τη δημιουργία υποδομής για διαστημικά δεδομένα και ενός δικτυακού τόπου, την εκπόνηση ειδικών μελετών σχετικά με τις κλιματικές συνθήκες, την τηλεπισκόπηση για τη συμβολή στην παρακολούθηση της αλλαγής της χρήσης των γεωργικών εκτάσεων και της υγείας του εδάφους και την επικαιροποίηση των γεωργομετεωρολογικών και οικονομετρικών μοντέλων. Εφόσον κριθεί αναγκαίο, οι δράσεις αυτές υλοποιούνται σε συνεργασία με τον ΕΟΧ, το ΚΚΕρ, εργαστήρια και φορείς σε εθνικό επίπεδο ή με τη συμμετοχή του ιδιωτικού τομέα.</w:t>
      </w:r>
    </w:p>
    <w:p w:rsidR="00A57BFD" w:rsidRDefault="005B0D19">
      <w:pPr>
        <w:pStyle w:val="Titrearticle1"/>
        <w:rPr>
          <w:noProof/>
        </w:rPr>
      </w:pPr>
      <w:r>
        <w:rPr>
          <w:noProof/>
        </w:rPr>
        <w:t>Άρθρο 24</w:t>
      </w:r>
      <w:r>
        <w:rPr>
          <w:noProof/>
        </w:rPr>
        <w:br/>
      </w:r>
      <w:r>
        <w:rPr>
          <w:b/>
          <w:noProof/>
        </w:rPr>
        <w:t>Εκτελεστικές αρμοδιότητες</w:t>
      </w:r>
    </w:p>
    <w:p w:rsidR="00A57BFD" w:rsidRDefault="005B0D19">
      <w:pPr>
        <w:rPr>
          <w:noProof/>
        </w:rPr>
      </w:pPr>
      <w:r>
        <w:rPr>
          <w:noProof/>
        </w:rPr>
        <w:t>Η Επιτροπή μπορεί να εκδίδει εκτελεστικές πράξεις που καθορίζουν:</w:t>
      </w:r>
    </w:p>
    <w:p w:rsidR="00A57BFD" w:rsidRDefault="005B0D19">
      <w:pPr>
        <w:pStyle w:val="Point0"/>
        <w:rPr>
          <w:noProof/>
        </w:rPr>
      </w:pPr>
      <w:r>
        <w:rPr>
          <w:noProof/>
        </w:rPr>
        <w:t>α)</w:t>
      </w:r>
      <w:r>
        <w:rPr>
          <w:noProof/>
        </w:rPr>
        <w:tab/>
        <w:t>κανόνες σχετικά με τη χρηματοδότηση σύμφωνα με το άρθρο 7 στοιχεία β) και γ),</w:t>
      </w:r>
    </w:p>
    <w:p w:rsidR="00A57BFD" w:rsidRDefault="005B0D19">
      <w:pPr>
        <w:pStyle w:val="Point0"/>
        <w:rPr>
          <w:noProof/>
        </w:rPr>
      </w:pPr>
      <w:r>
        <w:rPr>
          <w:noProof/>
        </w:rPr>
        <w:t>β)</w:t>
      </w:r>
      <w:r>
        <w:rPr>
          <w:noProof/>
        </w:rPr>
        <w:tab/>
        <w:t>τη διαδικασία εκτέλεσης των μέτρων που αναφέρονται στα άρθρα 22 και 23 για την επίτευξη των καθορισμένων στόχων,</w:t>
      </w:r>
    </w:p>
    <w:p w:rsidR="00A57BFD" w:rsidRDefault="005B0D19">
      <w:pPr>
        <w:pStyle w:val="Point0"/>
        <w:rPr>
          <w:noProof/>
        </w:rPr>
      </w:pPr>
      <w:r>
        <w:rPr>
          <w:noProof/>
        </w:rPr>
        <w:t>γ)</w:t>
      </w:r>
      <w:r>
        <w:rPr>
          <w:noProof/>
        </w:rPr>
        <w:tab/>
        <w:t>το πλαίσιο που διέπει την απόκτηση, τη βελτίωση και τη χρησιμοποίηση των δορυφορικών δεδομένων και των μετεωρολογικών δεδομένων και τις εφαρμοστέες προθεσμίες.</w:t>
      </w:r>
    </w:p>
    <w:p w:rsidR="00A57BFD" w:rsidRDefault="005B0D19">
      <w:pPr>
        <w:rPr>
          <w:noProof/>
        </w:rPr>
      </w:pPr>
      <w:r>
        <w:rPr>
          <w:noProof/>
        </w:rPr>
        <w:t>Οι εν λόγω εκτελεστικές πράξεις εκδίδονται σύμφωνα με τη διαδικασία εξέτασης που προβλέπεται στο άρθρο 101 παράγραφος 3.</w:t>
      </w:r>
    </w:p>
    <w:p w:rsidR="00A57BFD" w:rsidRDefault="005B0D19">
      <w:pPr>
        <w:pStyle w:val="ChapterTitle0"/>
        <w:rPr>
          <w:noProof/>
        </w:rPr>
      </w:pPr>
      <w:r>
        <w:rPr>
          <w:noProof/>
        </w:rPr>
        <w:t>Κεφάλαιο II</w:t>
      </w:r>
      <w:r>
        <w:rPr>
          <w:noProof/>
        </w:rPr>
        <w:br/>
        <w:t>ΕΓΤΑΑ</w:t>
      </w:r>
    </w:p>
    <w:p w:rsidR="00A57BFD" w:rsidRDefault="005B0D19">
      <w:pPr>
        <w:pStyle w:val="SectionTitle"/>
        <w:rPr>
          <w:noProof/>
        </w:rPr>
      </w:pPr>
      <w:r>
        <w:rPr>
          <w:noProof/>
        </w:rPr>
        <w:t>Τμήμα 1</w:t>
      </w:r>
      <w:r>
        <w:rPr>
          <w:noProof/>
        </w:rPr>
        <w:br/>
        <w:t>Γενικές διατάξεις για το ΕΓΤΑΑ</w:t>
      </w:r>
    </w:p>
    <w:p w:rsidR="00A57BFD" w:rsidRDefault="005B0D19">
      <w:pPr>
        <w:pStyle w:val="Titrearticle1"/>
        <w:rPr>
          <w:b/>
          <w:noProof/>
        </w:rPr>
      </w:pPr>
      <w:r>
        <w:rPr>
          <w:noProof/>
        </w:rPr>
        <w:t>Άρθρο 25</w:t>
      </w:r>
      <w:r>
        <w:rPr>
          <w:noProof/>
        </w:rPr>
        <w:br/>
      </w:r>
      <w:r>
        <w:rPr>
          <w:b/>
          <w:noProof/>
        </w:rPr>
        <w:t>Κοινές διατάξεις για τις πληρωμές</w:t>
      </w:r>
    </w:p>
    <w:p w:rsidR="00A57BFD" w:rsidRDefault="005B0D19">
      <w:pPr>
        <w:pStyle w:val="ManualNumPar1"/>
        <w:rPr>
          <w:noProof/>
        </w:rPr>
      </w:pPr>
      <w:r>
        <w:t>1.</w:t>
      </w:r>
      <w:r>
        <w:tab/>
      </w:r>
      <w:r>
        <w:rPr>
          <w:noProof/>
        </w:rPr>
        <w:t>Οι πληρωμές από την Επιτροπή της συνεισφοράς του ΕΓΤΑΑ που αναφέρεται στο άρθρο 6 δεν υπερβαίνουν τις δημοσιονομικές δεσμεύσεις.</w:t>
      </w:r>
    </w:p>
    <w:p w:rsidR="00A57BFD" w:rsidRDefault="005B0D19">
      <w:pPr>
        <w:pStyle w:val="Text1"/>
        <w:rPr>
          <w:noProof/>
        </w:rPr>
      </w:pPr>
      <w:r>
        <w:rPr>
          <w:noProof/>
        </w:rPr>
        <w:t>Με την επιφύλαξη του άρθρου 32 παράγραφος 1, οι πληρωμές αυτές καταλογίζονται στην παλαιότερη ανοικτή δημοσιονομική δέσμευση.</w:t>
      </w:r>
    </w:p>
    <w:p w:rsidR="00A57BFD" w:rsidRDefault="005B0D19">
      <w:pPr>
        <w:pStyle w:val="ManualNumPar1"/>
        <w:rPr>
          <w:noProof/>
        </w:rPr>
      </w:pPr>
      <w:r>
        <w:t>2.</w:t>
      </w:r>
      <w:r>
        <w:tab/>
      </w:r>
      <w:r>
        <w:rPr>
          <w:noProof/>
        </w:rPr>
        <w:t>Εφαρμόζεται το άρθρο 110 του δημοσιονομικού κανονισμού.</w:t>
      </w:r>
    </w:p>
    <w:p w:rsidR="00A57BFD" w:rsidRDefault="005B0D19">
      <w:pPr>
        <w:pStyle w:val="SectionTitle"/>
        <w:rPr>
          <w:noProof/>
        </w:rPr>
      </w:pPr>
      <w:r>
        <w:rPr>
          <w:noProof/>
        </w:rPr>
        <w:t xml:space="preserve">Τμήμα 2 </w:t>
      </w:r>
      <w:r>
        <w:rPr>
          <w:noProof/>
        </w:rPr>
        <w:br/>
        <w:t xml:space="preserve">Χρηματοδότηση του ΕΓΤΑΑ στο πλαίσιο του στρατηγικού σχεδίου της ΚΓΠ  </w:t>
      </w:r>
    </w:p>
    <w:p w:rsidR="00A57BFD" w:rsidRDefault="005B0D19">
      <w:pPr>
        <w:pStyle w:val="Titrearticle1"/>
        <w:rPr>
          <w:b/>
          <w:noProof/>
        </w:rPr>
      </w:pPr>
      <w:r>
        <w:rPr>
          <w:noProof/>
        </w:rPr>
        <w:t>Άρθρο 26</w:t>
      </w:r>
      <w:r>
        <w:rPr>
          <w:noProof/>
        </w:rPr>
        <w:br/>
      </w:r>
      <w:r>
        <w:rPr>
          <w:b/>
          <w:noProof/>
        </w:rPr>
        <w:t>Χρηματοδοτική συνεισφορά του ΕΓΤΑΑ</w:t>
      </w:r>
    </w:p>
    <w:p w:rsidR="00A57BFD" w:rsidRDefault="005B0D19">
      <w:pPr>
        <w:rPr>
          <w:noProof/>
        </w:rPr>
      </w:pPr>
      <w:r>
        <w:rPr>
          <w:noProof/>
        </w:rPr>
        <w:t>Η χρηματοδοτική συνεισφορά του ΕΓΤΑΑ στις δαπάνες στο πλαίσιο των στρατηγικών σχεδίων της ΚΓΠ καθορίζεται για κάθε στρατηγικό σχέδιο της ΚΓΠ, εντός των ανώτατων ορίων που προβλέπονται από την ενωσιακή νομοθεσία σχετικά με τη στήριξη των παρεμβάσεων του στρατηγικού σχεδίου ΚΓΠ από το ΕΓΤΑΑ.</w:t>
      </w:r>
    </w:p>
    <w:p w:rsidR="00A57BFD" w:rsidRDefault="005B0D19">
      <w:pPr>
        <w:pStyle w:val="Titrearticle1"/>
        <w:rPr>
          <w:noProof/>
        </w:rPr>
      </w:pPr>
      <w:r>
        <w:rPr>
          <w:noProof/>
        </w:rPr>
        <w:lastRenderedPageBreak/>
        <w:t>Άρθρο 27</w:t>
      </w:r>
      <w:r>
        <w:rPr>
          <w:noProof/>
        </w:rPr>
        <w:br/>
      </w:r>
      <w:r>
        <w:rPr>
          <w:b/>
          <w:noProof/>
        </w:rPr>
        <w:t>Δημοσιονομικές δεσμεύσεις</w:t>
      </w:r>
    </w:p>
    <w:p w:rsidR="00A57BFD" w:rsidRDefault="005B0D19">
      <w:pPr>
        <w:pStyle w:val="ManualNumPar1"/>
        <w:rPr>
          <w:noProof/>
        </w:rPr>
      </w:pPr>
      <w:r>
        <w:t>1.</w:t>
      </w:r>
      <w:r>
        <w:tab/>
      </w:r>
      <w:r>
        <w:rPr>
          <w:noProof/>
        </w:rPr>
        <w:t>Η απόφαση της Επιτροπής για την έγκριση στρατηγικού σχεδίου της ΚΓΠ συνιστά απόφαση χρηματοδότησης κατά την έννοια του άρθρου 110 παράγραφος 1 του δημοσιονομικού κανονισμού και, μόλις κοινοποιηθεί στο οικείο κράτος μέλος, νομική ανάληψη υποχρέωσης κατά την έννοια του εν λόγω κανονισμού. Η εν λόγω απόφαση ορίζει τη συνεισφορά ανά έτος.</w:t>
      </w:r>
    </w:p>
    <w:p w:rsidR="00A57BFD" w:rsidRDefault="005B0D19">
      <w:pPr>
        <w:pStyle w:val="ManualNumPar1"/>
        <w:rPr>
          <w:noProof/>
        </w:rPr>
      </w:pPr>
      <w:r>
        <w:t>2.</w:t>
      </w:r>
      <w:r>
        <w:tab/>
      </w:r>
      <w:r>
        <w:rPr>
          <w:noProof/>
        </w:rPr>
        <w:t xml:space="preserve">Οι δεσμεύσεις του προϋπολογισμού της Ένωσης για κάθε στρατηγικό σχέδιο της ΚΓΠ πραγματοποιούνται σε ετήσιες δόσεις μεταξύ της 1ης Ιανουαρίου 2021 και της 31ης Δεκεμβρίου 2027. </w:t>
      </w:r>
    </w:p>
    <w:p w:rsidR="00A57BFD" w:rsidRDefault="005B0D19">
      <w:pPr>
        <w:pStyle w:val="Text1"/>
        <w:rPr>
          <w:noProof/>
        </w:rPr>
      </w:pPr>
      <w:r>
        <w:rPr>
          <w:noProof/>
        </w:rPr>
        <w:t>Για κάθε στρατηγικό σχέδιο της ΚΓΠ, οι δεσμεύσεις του προϋπολογισμού για την πρώτη δόση έπονται της έγκρισης του στρατηγικού σχεδίου της ΚΓΠ από την Επιτροπή.</w:t>
      </w:r>
    </w:p>
    <w:p w:rsidR="00A57BFD" w:rsidRDefault="005B0D19">
      <w:pPr>
        <w:pStyle w:val="Text1"/>
        <w:rPr>
          <w:noProof/>
        </w:rPr>
      </w:pPr>
      <w:r>
        <w:rPr>
          <w:noProof/>
        </w:rPr>
        <w:t>Οι δεσμεύσεις του προϋπολογισμού για τις επόμενες δόσεις πραγματοποιούνται από την Επιτροπή πριν από την 1η Μαΐου κάθε έτους, με βάση την απόφαση που αναφέρεται στην πρώτη παράγραφο του παρόντος άρθρου, εκτός εάν εφαρμόζεται το άρθρο 16 του δημοσιονομικού κανονισμού.</w:t>
      </w:r>
    </w:p>
    <w:p w:rsidR="00A57BFD" w:rsidRDefault="005B0D19">
      <w:pPr>
        <w:pStyle w:val="SectionTitle"/>
        <w:rPr>
          <w:noProof/>
        </w:rPr>
      </w:pPr>
      <w:r>
        <w:rPr>
          <w:noProof/>
        </w:rPr>
        <w:t>Τμήμα 3</w:t>
      </w:r>
      <w:r>
        <w:rPr>
          <w:noProof/>
        </w:rPr>
        <w:br/>
        <w:t xml:space="preserve">Χρηματοδοτική συνεισφορά στις παρεμβάσεις αγροτικής ανάπτυξης </w:t>
      </w:r>
    </w:p>
    <w:p w:rsidR="00A57BFD" w:rsidRDefault="005B0D19">
      <w:pPr>
        <w:pStyle w:val="Titrearticle1"/>
        <w:rPr>
          <w:b/>
          <w:noProof/>
        </w:rPr>
      </w:pPr>
      <w:r>
        <w:rPr>
          <w:noProof/>
        </w:rPr>
        <w:t>Άρθρο 28</w:t>
      </w:r>
      <w:r>
        <w:rPr>
          <w:noProof/>
        </w:rPr>
        <w:br/>
      </w:r>
      <w:r>
        <w:rPr>
          <w:b/>
          <w:noProof/>
        </w:rPr>
        <w:t>Διατάξεις που εφαρμόζονται στις πληρωμές για παρεμβάσεις αγροτικής ανάπτυξης</w:t>
      </w:r>
    </w:p>
    <w:p w:rsidR="00A57BFD" w:rsidRDefault="005B0D19">
      <w:pPr>
        <w:pStyle w:val="ManualNumPar1"/>
        <w:rPr>
          <w:noProof/>
        </w:rPr>
      </w:pPr>
      <w:r>
        <w:t>1.</w:t>
      </w:r>
      <w:r>
        <w:tab/>
      </w:r>
      <w:r>
        <w:rPr>
          <w:noProof/>
        </w:rPr>
        <w:t>Οι πιστώσεις που είναι αναγκαίες για τη χρηματοδότηση των δαπανών που αναφέρονται στο άρθρο 6 τίθενται στη διάθεση των κρατών μελών με τη μορφή προχρηματοδότησης, ενδιάμεσων πληρωμών και πληρωμής υπολοίπου, όπως περιγράφεται στο παρόν τμήμα.</w:t>
      </w:r>
    </w:p>
    <w:p w:rsidR="00A57BFD" w:rsidRDefault="005B0D19">
      <w:pPr>
        <w:pStyle w:val="ManualNumPar1"/>
        <w:rPr>
          <w:noProof/>
        </w:rPr>
      </w:pPr>
      <w:r>
        <w:t>2.</w:t>
      </w:r>
      <w:r>
        <w:tab/>
      </w:r>
      <w:r>
        <w:rPr>
          <w:noProof/>
        </w:rPr>
        <w:t>Το συνολικό ποσό του αθροίσματος της προχρηματοδότησης και των ενδιάμεσων πληρωμών δεν υπερβαίνει το 95 % της συνεισφοράς του ΕΓΤΑΑ σε κάθε στρατηγικό σχέδιο της ΚΓΠ.</w:t>
      </w:r>
    </w:p>
    <w:p w:rsidR="00A57BFD" w:rsidRDefault="005B0D19">
      <w:pPr>
        <w:pStyle w:val="Text1"/>
        <w:rPr>
          <w:noProof/>
        </w:rPr>
      </w:pPr>
      <w:r>
        <w:rPr>
          <w:noProof/>
        </w:rPr>
        <w:t>Όταν καλυφθεί το ανώτατο όριο του 95 %, τα κράτη μέλη εξακολουθούν να διαβιβάζουν στην Επιτροπή αιτήσεις πληρωμής.</w:t>
      </w:r>
    </w:p>
    <w:p w:rsidR="00A57BFD" w:rsidRDefault="005B0D19">
      <w:pPr>
        <w:pStyle w:val="Titrearticle1"/>
        <w:rPr>
          <w:b/>
          <w:noProof/>
        </w:rPr>
      </w:pPr>
      <w:r>
        <w:rPr>
          <w:noProof/>
        </w:rPr>
        <w:t>Άρθρο 29</w:t>
      </w:r>
      <w:r>
        <w:rPr>
          <w:noProof/>
        </w:rPr>
        <w:br/>
      </w:r>
      <w:r>
        <w:rPr>
          <w:b/>
          <w:noProof/>
        </w:rPr>
        <w:t>Ρυθμίσεις προχρηματοδότησης</w:t>
      </w:r>
    </w:p>
    <w:p w:rsidR="00A57BFD" w:rsidRDefault="005B0D19">
      <w:pPr>
        <w:pStyle w:val="ManualNumPar1"/>
        <w:rPr>
          <w:noProof/>
        </w:rPr>
      </w:pPr>
      <w:r>
        <w:t>1.</w:t>
      </w:r>
      <w:r>
        <w:tab/>
      </w:r>
      <w:r>
        <w:rPr>
          <w:noProof/>
        </w:rPr>
        <w:t>Μετά την απόφασή της για έγκριση του στρατηγικού σχεδίου της ΚΓΠ, η Επιτροπή καταβάλλει το αρχικό ποσό προχρηματοδότησης στο κράτος μέλος για ολόκληρη τη διάρκεια του στρατηγικού σχεδίου της ΚΓΠ. Το εν λόγω αρχικό ποσό καταβάλλεται σε δόσεις ως εξής:</w:t>
      </w:r>
    </w:p>
    <w:p w:rsidR="00A57BFD" w:rsidRDefault="005B0D19">
      <w:pPr>
        <w:pStyle w:val="Point10"/>
        <w:rPr>
          <w:noProof/>
        </w:rPr>
      </w:pPr>
      <w:r>
        <w:rPr>
          <w:noProof/>
        </w:rPr>
        <w:t>α)</w:t>
      </w:r>
      <w:r>
        <w:rPr>
          <w:noProof/>
        </w:rPr>
        <w:tab/>
        <w:t xml:space="preserve">το 2021: 1 % του ποσού της στήριξης από το ΕΓΤΑΑ για όλη τη διάρκεια του στρατηγικού σχεδίου της ΚΓΠ·  </w:t>
      </w:r>
    </w:p>
    <w:p w:rsidR="00A57BFD" w:rsidRDefault="005B0D19">
      <w:pPr>
        <w:pStyle w:val="Point10"/>
        <w:rPr>
          <w:noProof/>
        </w:rPr>
      </w:pPr>
      <w:r>
        <w:rPr>
          <w:noProof/>
        </w:rPr>
        <w:t>β)</w:t>
      </w:r>
      <w:r>
        <w:rPr>
          <w:noProof/>
        </w:rPr>
        <w:tab/>
        <w:t xml:space="preserve">το 2022: 1 % του ποσού της στήριξης από το ΕΓΤΑΑ για όλη τη διάρκεια του στρατηγικού σχεδίου της ΚΓΠ·  </w:t>
      </w:r>
    </w:p>
    <w:p w:rsidR="00A57BFD" w:rsidRDefault="005B0D19">
      <w:pPr>
        <w:pStyle w:val="Point10"/>
        <w:rPr>
          <w:noProof/>
        </w:rPr>
      </w:pPr>
      <w:r>
        <w:rPr>
          <w:noProof/>
        </w:rPr>
        <w:t>γ)</w:t>
      </w:r>
      <w:r>
        <w:rPr>
          <w:noProof/>
        </w:rPr>
        <w:tab/>
        <w:t>το 2023: 1 % του ποσού της στήριξης από το ΕΓΤΑΑ για όλη τη διάρκεια του στρατηγικού σχεδίου της ΚΓΠ.</w:t>
      </w:r>
    </w:p>
    <w:p w:rsidR="00A57BFD" w:rsidRDefault="005B0D19">
      <w:pPr>
        <w:pStyle w:val="Text1"/>
        <w:rPr>
          <w:noProof/>
        </w:rPr>
      </w:pPr>
      <w:r>
        <w:rPr>
          <w:noProof/>
        </w:rPr>
        <w:lastRenderedPageBreak/>
        <w:t xml:space="preserve">Εάν εγκριθεί στρατηγικό σχέδιο της ΚΓΠ το 2022 ή αργότερα, οι προηγούμενες δόσεις καταβάλλονται αμελλητί μετά την έγκρισή του. </w:t>
      </w:r>
    </w:p>
    <w:p w:rsidR="00A57BFD" w:rsidRDefault="005B0D19">
      <w:pPr>
        <w:pStyle w:val="ManualNumPar1"/>
        <w:rPr>
          <w:noProof/>
        </w:rPr>
      </w:pPr>
      <w:r>
        <w:t>2.</w:t>
      </w:r>
      <w:r>
        <w:tab/>
      </w:r>
      <w:r>
        <w:rPr>
          <w:noProof/>
        </w:rPr>
        <w:t>Εάν δεν πραγματοποιηθεί καμία δαπάνη ή δεν υποβληθεί καμία δήλωση δαπανών στο πλαίσιο του στρατηγικού σχεδίου της ΚΓΠ εντός 24 μηνών από την καταβολή του πρώτου τμήματος της προχρηματοδότησης, το συνολικό ποσό που έχει καταβληθεί ως προχρηματοδότηση επιστρέφεται στην Επιτροπή. Η εν λόγω προχρηματοδότηση συμψηφίζεται με τις πρώτες δαπάνες που δηλώθηκαν για το στρατηγικό σχέδιο της ΚΓΠ.</w:t>
      </w:r>
    </w:p>
    <w:p w:rsidR="00A57BFD" w:rsidRDefault="005B0D19">
      <w:pPr>
        <w:pStyle w:val="ManualNumPar1"/>
        <w:rPr>
          <w:noProof/>
        </w:rPr>
      </w:pPr>
      <w:r>
        <w:t>3.</w:t>
      </w:r>
      <w:r>
        <w:tab/>
      </w:r>
      <w:r>
        <w:rPr>
          <w:noProof/>
        </w:rPr>
        <w:t xml:space="preserve">Δεν καταβάλλεται ούτε εισπράττεται πρόσθετη προχρηματοδότηση όταν έχει πραγματοποιηθεί μεταφορά προς ή από το ΕΓΤΑΑ, σύμφωνα με το άρθρο 90 του κανονισμού (ΕΕ) …/… [κανονισμός για το στρατηγικό σχέδιο της ΚΓΠ]. </w:t>
      </w:r>
    </w:p>
    <w:p w:rsidR="00A57BFD" w:rsidRDefault="005B0D19">
      <w:pPr>
        <w:pStyle w:val="ManualNumPar1"/>
        <w:rPr>
          <w:noProof/>
        </w:rPr>
      </w:pPr>
      <w:r>
        <w:t>4.</w:t>
      </w:r>
      <w:r>
        <w:tab/>
      </w:r>
      <w:r>
        <w:rPr>
          <w:noProof/>
        </w:rPr>
        <w:t>Οι τόκοι τους οποίους αποφέρει η προχρηματοδότηση χρησιμοποιούνται για το αντίστοιχο στρατηγικό σχέδιο της ΚΓΠ και αφαιρούνται από το ποσό των δημόσιων δαπανών που εμφαίνεται στην τελική δήλωση δαπανών.</w:t>
      </w:r>
    </w:p>
    <w:p w:rsidR="00A57BFD" w:rsidRDefault="005B0D19">
      <w:pPr>
        <w:pStyle w:val="ManualNumPar1"/>
        <w:rPr>
          <w:noProof/>
        </w:rPr>
      </w:pPr>
      <w:r>
        <w:t>5.</w:t>
      </w:r>
      <w:r>
        <w:tab/>
      </w:r>
      <w:r>
        <w:rPr>
          <w:noProof/>
        </w:rPr>
        <w:t>Το συνολικό ποσό της προχρηματοδότησης εκκαθαρίζεται σύμφωνα με τη διαδικασία που αναφέρεται στο άρθρο 51 πριν περατωθεί το στρατηγικό σχέδιο της ΚΓΠ.</w:t>
      </w:r>
    </w:p>
    <w:p w:rsidR="00A57BFD" w:rsidRDefault="005B0D19">
      <w:pPr>
        <w:pStyle w:val="Titrearticle1"/>
        <w:rPr>
          <w:noProof/>
        </w:rPr>
      </w:pPr>
      <w:r>
        <w:rPr>
          <w:noProof/>
        </w:rPr>
        <w:t>Άρθρο 30</w:t>
      </w:r>
      <w:r>
        <w:rPr>
          <w:noProof/>
        </w:rPr>
        <w:br/>
      </w:r>
      <w:r>
        <w:rPr>
          <w:b/>
          <w:noProof/>
        </w:rPr>
        <w:t>Ενδιάμεσες πληρωμές</w:t>
      </w:r>
    </w:p>
    <w:p w:rsidR="00A57BFD" w:rsidRDefault="005B0D19">
      <w:pPr>
        <w:pStyle w:val="ManualNumPar1"/>
        <w:rPr>
          <w:noProof/>
        </w:rPr>
      </w:pPr>
      <w:r>
        <w:t>1.</w:t>
      </w:r>
      <w:r>
        <w:tab/>
      </w:r>
      <w:r>
        <w:rPr>
          <w:noProof/>
        </w:rPr>
        <w:t>Για κάθε στρατηγικό σχέδιο της ΚΓΠ πραγματοποιούνται ενδιάμεσες πληρωμές. Υπολογίζονται με εφαρμογή του ποσοστού συνεισφοράς για κάθε είδος παρέμβασης στις δημόσιες δαπάνες που πραγματοποιούνται για αυτό, όπως αναφέρεται στο άρθρο 85 του κανονισμού (ΕΕ) …/…[κανονισμού για το στρατηγικό σχέδιο της ΚΓΠ].</w:t>
      </w:r>
    </w:p>
    <w:p w:rsidR="00A57BFD" w:rsidRDefault="005B0D19">
      <w:pPr>
        <w:pStyle w:val="ManualNumPar1"/>
        <w:rPr>
          <w:noProof/>
        </w:rPr>
      </w:pPr>
      <w:r>
        <w:t>2.</w:t>
      </w:r>
      <w:r>
        <w:tab/>
      </w:r>
      <w:r>
        <w:rPr>
          <w:noProof/>
        </w:rPr>
        <w:t>Με την επιφύλαξη των διαθέσιμων πόρων, η Επιτροπή, έχοντας υπόψη τις μειώσεις και τις αναστολές που διενεργούνται βάσει των άρθρων 37 έως 40, πραγματοποιεί ενδιάμεσες πληρωμές για την επιστροφή των δαπανών που έχουν πραγματοποιήσει οι διαπιστευμένοι οργανισμοί πληρωμών για την εκτέλεση των στρατηγικών σχεδίων της ΚΓΠ.</w:t>
      </w:r>
    </w:p>
    <w:p w:rsidR="00A57BFD" w:rsidRDefault="005B0D19">
      <w:pPr>
        <w:pStyle w:val="ManualNumPar1"/>
        <w:rPr>
          <w:noProof/>
        </w:rPr>
      </w:pPr>
      <w:r>
        <w:t>3.</w:t>
      </w:r>
      <w:r>
        <w:tab/>
      </w:r>
      <w:r>
        <w:rPr>
          <w:noProof/>
        </w:rPr>
        <w:t>Σε περίπτωση εφαρμογής χρηματοδοτικών μέσων σύμφωνα με το άρθρο 52 του κανονισμού (ΕΕ) …/… [ΚΚΔ], η δήλωση δαπανών περιλαμβάνει τα συνολικά εκταμιευθέντα ποσά ή, στην περίπτωση εγγυήσεων, τα ποσά που δεσμεύθηκαν, όπως συμφωνήθηκαν στις συμβάσεις εγγύησης, από τη διαχειριστική αρχή, για τους τελικούς αποδέκτες που αναφέρονται στα στοιχεία α), β) και γ) του [άρθρου 74 παράγραφος 5 του κανονισμού (ΕΕ) …/…του στρατηγικού σχεδίου της ΚΓΠ – κανόνες επιλεξιμότητας ή χρηματοδοτικά μέσα].</w:t>
      </w:r>
    </w:p>
    <w:p w:rsidR="00A57BFD" w:rsidRDefault="005B0D19">
      <w:pPr>
        <w:pStyle w:val="ManualNumPar1"/>
        <w:rPr>
          <w:noProof/>
        </w:rPr>
      </w:pPr>
      <w:r>
        <w:t>4.</w:t>
      </w:r>
      <w:r>
        <w:tab/>
      </w:r>
      <w:r>
        <w:rPr>
          <w:noProof/>
        </w:rPr>
        <w:t xml:space="preserve">Σε περίπτωση εφαρμογής χρηματοδοτικών μέσων σύμφωνα με το άρθρο 52 του κανονισμού (ΕΕ) …/… [ΚΚΔ], οι δηλώσεις δαπανών που περιλαμβάνουν δαπάνες για χρηματοδοτικά μέσα υποβάλλονται σύμφωνα με τους ακόλουθους όρους: </w:t>
      </w:r>
    </w:p>
    <w:p w:rsidR="00A57BFD" w:rsidRDefault="005B0D19">
      <w:pPr>
        <w:pStyle w:val="Point10"/>
        <w:rPr>
          <w:noProof/>
        </w:rPr>
      </w:pPr>
      <w:r>
        <w:rPr>
          <w:noProof/>
        </w:rPr>
        <w:t>α)</w:t>
      </w:r>
      <w:r>
        <w:rPr>
          <w:noProof/>
        </w:rPr>
        <w:tab/>
        <w:t xml:space="preserve">το ποσό που περιλαμβάνεται στην πρώτη δήλωση δαπανών πρέπει να έχει προηγουμένως καταβληθεί στο χρηματοδοτικό μέσο και μπορεί να ανέλθει έως και σε 25 % του συνολικού ποσού της συνεισφοράς του στρατηγικού σχεδίου της ΚΓΠ που έχει δεσμευτεί για τα χρηματοδοτικά μέσα βάσει της σχετικής σύμβασης χρηματοδότησης· </w:t>
      </w:r>
    </w:p>
    <w:p w:rsidR="00A57BFD" w:rsidRDefault="005B0D19">
      <w:pPr>
        <w:pStyle w:val="Point10"/>
        <w:rPr>
          <w:noProof/>
        </w:rPr>
      </w:pPr>
      <w:r>
        <w:rPr>
          <w:noProof/>
        </w:rPr>
        <w:lastRenderedPageBreak/>
        <w:t>β)</w:t>
      </w:r>
      <w:r>
        <w:rPr>
          <w:noProof/>
        </w:rPr>
        <w:tab/>
        <w:t>το ποσό που περιλαμβάνεται στις μεταγενέστερες δηλώσεις δαπανών που υποβλήθηκαν κατά τη διάρκεια της περιόδου επιλεξιμότητας όπως ορίζεται στο άρθρο 80 παράγραφος 3 του κανονισμού (ΕΕ) …/… [κανονισμός για το στρατηγικό σχέδιο της ΚΓΠ] περιλαμβάνει τις επιλέξιμες δαπάνες που αναφέρονται στο [άρθρο 74 παράγραφος 5 του στρατηγικού σχεδίου της ΚΓΠ – κανόνες επιλεξιμότητας ή χρηματοδοτικά μέσα].</w:t>
      </w:r>
    </w:p>
    <w:p w:rsidR="00A57BFD" w:rsidRDefault="005B0D19">
      <w:pPr>
        <w:pStyle w:val="ManualNumPar1"/>
        <w:rPr>
          <w:noProof/>
        </w:rPr>
      </w:pPr>
      <w:r>
        <w:t>5.</w:t>
      </w:r>
      <w:r>
        <w:tab/>
      </w:r>
      <w:r>
        <w:rPr>
          <w:noProof/>
        </w:rPr>
        <w:t>Το ποσό που περιλαμβάνεται στην πρώτη δήλωση δαπανών που αναφέρεται στην παράγραφο 4 στοιχείο α) εκκαθαρίζεται από τους λογαριασμούς της Επιτροπής το αργότερο κατά την κατάρτιση των ετήσιων λογαριασμών για το τελευταίο έτος εκτέλεσης του σχετικού στρατηγικού σχεδίου της ΚΓΠ.</w:t>
      </w:r>
    </w:p>
    <w:p w:rsidR="00A57BFD" w:rsidRDefault="005B0D19">
      <w:pPr>
        <w:pStyle w:val="ManualNumPar1"/>
        <w:rPr>
          <w:noProof/>
        </w:rPr>
      </w:pPr>
      <w:r>
        <w:t>6.</w:t>
      </w:r>
      <w:r>
        <w:tab/>
      </w:r>
      <w:r>
        <w:rPr>
          <w:noProof/>
        </w:rPr>
        <w:t>Κάθε ενδιάμεση πληρωμή εκτελείται από την Επιτροπή εφόσον πληρούνται οι εξής απαιτήσεις:</w:t>
      </w:r>
    </w:p>
    <w:p w:rsidR="00A57BFD" w:rsidRDefault="005B0D19">
      <w:pPr>
        <w:pStyle w:val="Point10"/>
        <w:rPr>
          <w:noProof/>
        </w:rPr>
      </w:pPr>
      <w:r>
        <w:rPr>
          <w:noProof/>
        </w:rPr>
        <w:t>α)</w:t>
      </w:r>
      <w:r>
        <w:rPr>
          <w:noProof/>
        </w:rPr>
        <w:tab/>
        <w:t>διαβίβαση στην Επιτροπή δήλωσης δαπανών υπογεγραμμένης από τον διαπιστευμένο οργανισμό πληρωμών σύμφωνα με το άρθρο 88 παράγραφος 1 στοιχείο γ)·</w:t>
      </w:r>
    </w:p>
    <w:p w:rsidR="00A57BFD" w:rsidRDefault="005B0D19">
      <w:pPr>
        <w:pStyle w:val="Point10"/>
        <w:rPr>
          <w:noProof/>
        </w:rPr>
      </w:pPr>
      <w:r>
        <w:rPr>
          <w:noProof/>
        </w:rPr>
        <w:t>β)</w:t>
      </w:r>
      <w:r>
        <w:rPr>
          <w:noProof/>
        </w:rPr>
        <w:tab/>
        <w:t>μη υπέρβαση του συνολικού ποσού της συνεισφοράς του ΕΓΤΑΑ σε κάθε είδος παρέμβασης για ολόκληρη την περίοδο που καλύπτει το σχετικό στρατηγικό σχέδιο της ΚΓΠ·</w:t>
      </w:r>
    </w:p>
    <w:p w:rsidR="00A57BFD" w:rsidRDefault="005B0D19">
      <w:pPr>
        <w:pStyle w:val="Point10"/>
        <w:rPr>
          <w:noProof/>
        </w:rPr>
      </w:pPr>
      <w:r>
        <w:rPr>
          <w:noProof/>
        </w:rPr>
        <w:t>γ)</w:t>
      </w:r>
      <w:r>
        <w:rPr>
          <w:noProof/>
        </w:rPr>
        <w:tab/>
        <w:t>διαβίβαση στην Επιτροπή των εγγράφων που πρέπει να υποβληθούν, όπως αναφέρεται στο άρθρο 8 παράγραφος 3 και στο άρθρο 11 παράγραφος 1·</w:t>
      </w:r>
    </w:p>
    <w:p w:rsidR="00A57BFD" w:rsidRDefault="005B0D19">
      <w:pPr>
        <w:pStyle w:val="Point10"/>
        <w:rPr>
          <w:noProof/>
        </w:rPr>
      </w:pPr>
      <w:r>
        <w:rPr>
          <w:noProof/>
        </w:rPr>
        <w:t>δ)</w:t>
      </w:r>
      <w:r>
        <w:rPr>
          <w:noProof/>
        </w:rPr>
        <w:tab/>
        <w:t>διαβίβαση των ετήσιων λογαριασμών.</w:t>
      </w:r>
    </w:p>
    <w:p w:rsidR="00A57BFD" w:rsidRDefault="005B0D19">
      <w:pPr>
        <w:pStyle w:val="ManualNumPar1"/>
        <w:rPr>
          <w:noProof/>
        </w:rPr>
      </w:pPr>
      <w:r>
        <w:t>7.</w:t>
      </w:r>
      <w:r>
        <w:tab/>
      </w:r>
      <w:r>
        <w:rPr>
          <w:noProof/>
        </w:rPr>
        <w:t>Εάν δεν πληρούται μία από τις απαιτήσεις της παραγράφου 6, η Επιτροπή ενημερώνει αμελλητί τον διαπιστευμένο οργανισμό πληρωμών ή, εφόσον έχει οριστεί, τον οργανισμό συντονισμού. Εάν δεν πληρούται μία από τις απαιτήσεις των στοιχείων α),  γ) ή δ) της παραγράφου 6, η δήλωση δαπανών θεωρείται μη παραδεκτή.</w:t>
      </w:r>
    </w:p>
    <w:p w:rsidR="00A57BFD" w:rsidRDefault="005B0D19">
      <w:pPr>
        <w:pStyle w:val="ManualNumPar1"/>
        <w:rPr>
          <w:noProof/>
        </w:rPr>
      </w:pPr>
      <w:r>
        <w:t>8.</w:t>
      </w:r>
      <w:r>
        <w:tab/>
      </w:r>
      <w:r>
        <w:rPr>
          <w:noProof/>
        </w:rPr>
        <w:t>Με την επιφύλαξη των άρθρων 51, 52 και 53, η Επιτροπή εκτελεί την ενδιάμεση πληρωμή εντός 45 ημερών από την καταχώριση δήλωσης δαπανών η οποία πληροί τις απαιτήσεις της παραγράφου 6 του παρόντος άρθρου.</w:t>
      </w:r>
    </w:p>
    <w:p w:rsidR="00A57BFD" w:rsidRDefault="005B0D19">
      <w:pPr>
        <w:pStyle w:val="ManualNumPar1"/>
        <w:rPr>
          <w:noProof/>
        </w:rPr>
      </w:pPr>
      <w:r>
        <w:t>9.</w:t>
      </w:r>
      <w:r>
        <w:tab/>
      </w:r>
      <w:r>
        <w:rPr>
          <w:noProof/>
        </w:rPr>
        <w:t>Οι διαπιστευμένοι οργανισμοί πληρωμών καταρτίζουν ενδιάμεσες δηλώσεις δαπανών που συνδέονται με τα στρατηγικά σχέδια της ΚΓΠ και τις διαβιβάζουν στην Επιτροπή απευθείας ή μέσω του οργανισμού συντονισμού, εφόσον έχει οριστεί τέτοιος οργανισμός, εντός των προθεσμιών που καθορίζει η Επιτροπή.</w:t>
      </w:r>
    </w:p>
    <w:p w:rsidR="00A57BFD" w:rsidRDefault="005B0D19">
      <w:pPr>
        <w:pStyle w:val="Text1"/>
        <w:rPr>
          <w:noProof/>
        </w:rPr>
      </w:pPr>
      <w:r>
        <w:rPr>
          <w:noProof/>
        </w:rPr>
        <w:t>H Επιτροπή εκδίδει εκτελεστικές πράξεις για τον καθορισμό των προθεσμιών κατάρτισης και διαβίβασης των ενδιάμεσων δηλώσεων δαπανών από τους διαπιστευμένους οργανισμούς. Οι εν λόγω εκτελεστικές πράξεις εκδίδονται σύμφωνα με τη διαδικασία εξέτασης που προβλέπεται στο άρθρο 101 παράγραφος 3.</w:t>
      </w:r>
    </w:p>
    <w:p w:rsidR="00A57BFD" w:rsidRDefault="005B0D19">
      <w:pPr>
        <w:pStyle w:val="Text1"/>
        <w:rPr>
          <w:noProof/>
        </w:rPr>
      </w:pPr>
      <w:r>
        <w:rPr>
          <w:noProof/>
        </w:rPr>
        <w:t>Οι δηλώσεις δαπανών καλύπτουν τις δαπάνες των οργανισμών πληρωμών κατά τη διάρκεια κάθε σχετικής περιόδου. Ωστόσο, όταν οι δαπάνες που αναφέρονται στο άρθρο 107 παράγραφος 8 του κανονισμού (ΕΕ) αριθ. …/… [κανονισμού για το στρατηγικό σχέδιο της ΚΓΠ] δεν μπορούν να δηλωθούν στην Επιτροπή κατά τη σχετική περίοδο διότι η έγκριση τροποποίησης του στρατηγικού σχεδίου της ΚΓΠ από την Επιτροπή εκκρεμεί, μπορούν να δηλωθούν στις επόμενες περιόδους.</w:t>
      </w:r>
    </w:p>
    <w:p w:rsidR="00A57BFD" w:rsidRDefault="005B0D19">
      <w:pPr>
        <w:pStyle w:val="Text1"/>
        <w:rPr>
          <w:noProof/>
        </w:rPr>
      </w:pPr>
      <w:r>
        <w:rPr>
          <w:noProof/>
        </w:rPr>
        <w:t>Οι δηλώσεις ενδιάμεσων δαπανών για τις δαπάνες που πραγματοποιούνται από τις 16 Οκτωβρίου και μετά καταλογίζονται στον προϋπολογισμό του επόμενου έτους.</w:t>
      </w:r>
    </w:p>
    <w:p w:rsidR="00A57BFD" w:rsidRDefault="005B0D19">
      <w:pPr>
        <w:pStyle w:val="ManualNumPar1"/>
        <w:rPr>
          <w:noProof/>
        </w:rPr>
      </w:pPr>
      <w:r>
        <w:lastRenderedPageBreak/>
        <w:t>10.</w:t>
      </w:r>
      <w:r>
        <w:tab/>
      </w:r>
      <w:r>
        <w:rPr>
          <w:noProof/>
        </w:rPr>
        <w:t>Όταν ο δευτερεύων διατάκτης απαιτεί τη διενέργεια πρόσθετων ελέγχων λόγω παροχής ελλιπών ή ασαφών πληροφοριών ή διαφωνίας ή διαφορετικής ερμηνείας ή άλλης ανακολουθίας σε σχέση με τις δηλώσεις δαπανών μιας περιόδου αναφοράς, ως αποτέλεσμα κυρίως μη κοινοποίησης των πληροφοριών που απαιτούνται βάσει του κανονισμού (ΕΕ) …/… [κανονισμού για το στρατηγικό σχέδιο της ΚΓΠ] και πράξεων που εκδίδει η Επιτροπή βάσει του εν λόγω κανονισμού, το οικείο κράτος μέλος υποβάλλει, μετά από αίτημα του δευτερεύοντος διατάκτη, πρόσθετες πληροφορίες εντός προθεσμίας που ορίζεται στο εν λόγω αίτημα ανάλογα με τη σοβαρότητα του προβλήματος.</w:t>
      </w:r>
    </w:p>
    <w:p w:rsidR="00A57BFD" w:rsidRDefault="005B0D19">
      <w:pPr>
        <w:pStyle w:val="Text1"/>
        <w:rPr>
          <w:noProof/>
        </w:rPr>
      </w:pPr>
      <w:r>
        <w:rPr>
          <w:noProof/>
        </w:rPr>
        <w:t>Η προθεσμία για τις ενδιάμεσες πληρωμές που προβλέπεται στην παράγραφο 8 μπορεί να διακοπεί για το σύνολο ή μέρος του ποσού που αναγράφεται στην αίτηση πληρωμής, για μέγιστο διάστημα έξι μηνών, αρχής γενομένης από την ημερομηνία αποστολής της αίτησης παροχής πληροφοριών και μέχρι την παραλαβή των πληροφοριών αυτών, οι οποίες θεωρούνται ικανοποιητικές. Το κράτος μέλος μπορεί να συμφωνήσει για παράταση της περιόδου διακοπής κατά τρεις επιπλέον μήνες.</w:t>
      </w:r>
    </w:p>
    <w:p w:rsidR="00A57BFD" w:rsidRDefault="005B0D19">
      <w:pPr>
        <w:pStyle w:val="Text1"/>
        <w:rPr>
          <w:noProof/>
        </w:rPr>
      </w:pPr>
      <w:r>
        <w:rPr>
          <w:noProof/>
        </w:rPr>
        <w:t>Εάν το οικείο κράτος μέλος δεν ανταποκριθεί στο αίτημα παροχής πρόσθετων πληροφοριών εντός της προθεσμίας που ορίζεται στην εν λόγω αίτηση ή εάν η απάντησή του δεν κριθεί ικανοποιητική ή αναφέρει ότι δεν έχουν τηρηθεί οι ισχύοντες κανόνες ή ότι έχει γίνει αντικανονική χρήση των ενωσιακών κονδυλίων, η Επιτροπή δύναται να αναστείλει ή να μειώσει τις πληρωμές σύμφωνα με τα άρθρα 37 έως 40 του παρόντος κανονισμού.</w:t>
      </w:r>
    </w:p>
    <w:p w:rsidR="00A57BFD" w:rsidRDefault="005B0D19">
      <w:pPr>
        <w:pStyle w:val="Titrearticle1"/>
        <w:rPr>
          <w:b/>
          <w:noProof/>
        </w:rPr>
      </w:pPr>
      <w:r>
        <w:rPr>
          <w:noProof/>
        </w:rPr>
        <w:t>Άρθρο 31</w:t>
      </w:r>
      <w:r>
        <w:rPr>
          <w:noProof/>
        </w:rPr>
        <w:br/>
      </w:r>
      <w:r>
        <w:rPr>
          <w:b/>
          <w:noProof/>
        </w:rPr>
        <w:t>Πληρωμή του υπολοίπου και περάτωση των παρεμβάσεων αγροτικής ανάπτυξης στο στρατηγικό σχέδιο της ΚΓΠ</w:t>
      </w:r>
    </w:p>
    <w:p w:rsidR="00A57BFD" w:rsidRDefault="005B0D19">
      <w:pPr>
        <w:pStyle w:val="ManualNumPar1"/>
        <w:rPr>
          <w:noProof/>
        </w:rPr>
      </w:pPr>
      <w:r>
        <w:t>1.</w:t>
      </w:r>
      <w:r>
        <w:tab/>
      </w:r>
      <w:r>
        <w:rPr>
          <w:noProof/>
        </w:rPr>
        <w:t>Το υπόλοιπο εξοφλείται από την Επιτροπή μετά την παραλαβή της τελευταίας ετήσιας έκθεσης επιδόσεων σχετικά με την εφαρμογή στρατηγικού σχεδίου της ΚΓΠ, με βάση το ισχύον σχέδιο χρηματοδότησης στο επίπεδο των τύπων παρεμβάσεων του ΕΓΤΑΑ, τους ετήσιους λογαριασμούς του τελευταίου έτους εφαρμογής του εξεταζόμενου στρατηγικού σχεδίου της ΚΓΠ και τις αντίστοιχες αποφάσεις εκκαθάρισης λογαριασμών, με την επιφύλαξη των διαθέσιμων πόρων. Οι λογαριασμοί υποβάλλονται στην Επιτροπή το αργότερο έξι μήνες μετά την τελική ημερομηνία επιλεξιμότητας των δαπανών που προβλέπεται στο άρθρο 80 παράγραφος 3 του κανονισμού (ΕΕ) αριθ. …/… [κανονισμού για το στρατηγικό σχέδιο της ΚΓΠ] και καλύπτουν τις δαπάνες που πραγματοποιούνται από τον οργανισμό πληρωμών έως την τελευταία ημερομηνία επιλεξιμότητας των δαπανών.</w:t>
      </w:r>
    </w:p>
    <w:p w:rsidR="00A57BFD" w:rsidRDefault="005B0D19">
      <w:pPr>
        <w:pStyle w:val="ManualNumPar1"/>
        <w:rPr>
          <w:noProof/>
        </w:rPr>
      </w:pPr>
      <w:r>
        <w:t>2.</w:t>
      </w:r>
      <w:r>
        <w:tab/>
      </w:r>
      <w:r>
        <w:rPr>
          <w:noProof/>
        </w:rPr>
        <w:t>Το υπόλοιπο εξοφλείται το αργότερο έξι μήνες μετά την ημερομηνία κατά την οποία τα στοιχεία και έγγραφα που αναφέρονται στην παράγραφο 1 κρίνονται παραδεκτά από την Επιτροπή και εκκαθαρίζεται ο τελευταίος ετήσιος λογαριασμός. Με την επιφύλαξη του άρθρου 32 παράγραφος 5, τα ποσά που εξακολουθούν να αποτελούν το αντικείμενο δημοσιονομικής δέσμευσης μετά την εξόφληση του υπολοίπου αποδεσμεύονται από την Επιτροπή εντός έξι μηνών.</w:t>
      </w:r>
    </w:p>
    <w:p w:rsidR="00A57BFD" w:rsidRDefault="005B0D19">
      <w:pPr>
        <w:pStyle w:val="ManualNumPar1"/>
        <w:rPr>
          <w:noProof/>
        </w:rPr>
      </w:pPr>
      <w:r>
        <w:t>3.</w:t>
      </w:r>
      <w:r>
        <w:tab/>
      </w:r>
      <w:r>
        <w:rPr>
          <w:noProof/>
        </w:rPr>
        <w:t>Η παράλειψη διαβίβασης στην Επιτροπή, εντός της προθεσμίας που καθορίζεται στην παράγραφο 1, της τελευταίας ετήσιας έκθεσης επιδόσεων και των εγγράφων που απαιτούνται για την εκκαθάριση των λογαριασμών του τελευταίου έτους εφαρμογής του σχεδίου, συνεπάγεται την αυτόματη αποδέσμευση του υπολοίπου σύμφωνα με το άρθρο 32.</w:t>
      </w:r>
    </w:p>
    <w:p w:rsidR="00A57BFD" w:rsidRDefault="005B0D19">
      <w:pPr>
        <w:pStyle w:val="Titrearticle1"/>
        <w:rPr>
          <w:noProof/>
        </w:rPr>
      </w:pPr>
      <w:r>
        <w:rPr>
          <w:noProof/>
        </w:rPr>
        <w:lastRenderedPageBreak/>
        <w:t>Άρθρο 32</w:t>
      </w:r>
      <w:r>
        <w:rPr>
          <w:noProof/>
        </w:rPr>
        <w:br/>
      </w:r>
      <w:r>
        <w:rPr>
          <w:b/>
          <w:noProof/>
        </w:rPr>
        <w:t>Αυτόματη αποδέσμευση για τα στρατηγικά σχέδια της ΚΓΠ</w:t>
      </w:r>
    </w:p>
    <w:p w:rsidR="00A57BFD" w:rsidRDefault="005B0D19">
      <w:pPr>
        <w:pStyle w:val="ManualNumPar1"/>
        <w:rPr>
          <w:noProof/>
        </w:rPr>
      </w:pPr>
      <w:r>
        <w:t>1.</w:t>
      </w:r>
      <w:r>
        <w:tab/>
      </w:r>
      <w:r>
        <w:rPr>
          <w:noProof/>
        </w:rPr>
        <w:t>Η Επιτροπή αποδεσμεύει αυτόματα κάθε τμήμα της δημοσιονομικής δέσμευσης για παρεμβάσεις αγροτικής ανάπτυξης στο πλαίσιο ενός στρατηγικού σχεδίου της ΚΓΠ το οποίο δεν χρησιμοποιήθηκε για την προχρηματοδότηση ή για ενδιάμεσες πληρωμές ή για το οποίο δεν υποβλήθηκε στην Επιτροπή δήλωση δαπανών που να πληροί τις απαιτήσεις του άρθρου 30 παράγραφος 3 για δαπάνες που πραγματοποιήθηκαν έως την 31η Δεκεμβρίου του δεύτερου έτους μετά από εκείνο της δημοσιονομικής δέσμευσης.</w:t>
      </w:r>
    </w:p>
    <w:p w:rsidR="00A57BFD" w:rsidRDefault="005B0D19">
      <w:pPr>
        <w:pStyle w:val="ManualNumPar1"/>
        <w:rPr>
          <w:noProof/>
        </w:rPr>
      </w:pPr>
      <w:r>
        <w:t>2.</w:t>
      </w:r>
      <w:r>
        <w:tab/>
      </w:r>
      <w:r>
        <w:rPr>
          <w:noProof/>
        </w:rPr>
        <w:t>Το τμήμα των δημοσιονομικών δεσμεύσεων που είναι ακόμη ανοικτό κατά την τελευταία ημερομηνία επιλεξιμότητας των δαπανών, όπως αναφέρεται στο άρθρο 80 παράγραφος 3 του κανονισμού (ΕΕ) …/… [κανονισμού για το στρατηγικό σχέδιο της ΚΓΠ] και για το οποίο δεν υποβλήθηκε καμία δήλωση δαπανών εντός έξι μηνών από την εν λόγω ημερομηνία αποδεσμεύεται αυτόματα.</w:t>
      </w:r>
    </w:p>
    <w:p w:rsidR="00A57BFD" w:rsidRDefault="005B0D19">
      <w:pPr>
        <w:pStyle w:val="ManualNumPar1"/>
        <w:rPr>
          <w:noProof/>
        </w:rPr>
      </w:pPr>
      <w:r>
        <w:t>3.</w:t>
      </w:r>
      <w:r>
        <w:tab/>
      </w:r>
      <w:r>
        <w:rPr>
          <w:noProof/>
        </w:rPr>
        <w:t>Σε περίπτωση δικαστικής διαδικασίας ή διοικητικής προσφυγής που έχει ανασταλτικό αποτέλεσμα, η προθεσμία που αναφέρεται στην παράγραφο 1 ή 2 και οδηγεί στην αυτόματη αποδέσμευση διακόπτεται ως προς το ποσό που αντιστοιχεί στις σχετικές πράξεις για τη διάρκεια της εν λόγω δικαστικής διαδικασίας ή διοικητικής προσφυγής, υπό τον όρο ότι η Επιτροπή λαμβάνει αιτιολογημένη κοινοποίηση από το κράτος μέλος το αργότερο την 31η Ιανουαρίου του έτους N + 3.</w:t>
      </w:r>
    </w:p>
    <w:p w:rsidR="00A57BFD" w:rsidRDefault="005B0D19">
      <w:pPr>
        <w:pStyle w:val="ManualNumPar1"/>
        <w:rPr>
          <w:noProof/>
        </w:rPr>
      </w:pPr>
      <w:r>
        <w:t>4.</w:t>
      </w:r>
      <w:r>
        <w:tab/>
      </w:r>
      <w:r>
        <w:rPr>
          <w:noProof/>
        </w:rPr>
        <w:t>Κατά τον υπολογισμό της αυτόματης αποδέσμευσης δεν λαμβάνονται υπόψη τα ακόλουθα:</w:t>
      </w:r>
    </w:p>
    <w:p w:rsidR="00A57BFD" w:rsidRDefault="005B0D19">
      <w:pPr>
        <w:pStyle w:val="Point10"/>
        <w:rPr>
          <w:noProof/>
        </w:rPr>
      </w:pPr>
      <w:r>
        <w:rPr>
          <w:noProof/>
        </w:rPr>
        <w:t>α)</w:t>
      </w:r>
      <w:r>
        <w:rPr>
          <w:noProof/>
        </w:rPr>
        <w:tab/>
        <w:t>το τμήμα των δημοσιονομικών δεσμεύσεων για το οποίο έχει υποβληθεί δήλωση δαπανών, αλλά του οποίου η επιστροφή αποτελεί το αντικείμενο μείωσης ή αναστολής από την Επιτροπή στις 31 Δεκεμβρίου του έτους N + 2,</w:t>
      </w:r>
    </w:p>
    <w:p w:rsidR="00A57BFD" w:rsidRDefault="005B0D19">
      <w:pPr>
        <w:pStyle w:val="Point10"/>
        <w:rPr>
          <w:noProof/>
        </w:rPr>
      </w:pPr>
      <w:r>
        <w:rPr>
          <w:noProof/>
        </w:rPr>
        <w:t>β)</w:t>
      </w:r>
      <w:r>
        <w:rPr>
          <w:noProof/>
        </w:rPr>
        <w:tab/>
        <w:t>το τμήμα των δημοσιονομικών δεσμεύσεων το οποίο δεν ήταν σε θέση να καταβάλει ένας οργανισμός πληρωμών λόγω ανωτέρας βίας, με σοβαρές συνέπειες για την εφαρμογή του στρατηγικού σχεδίου της ΚΓΠ. Οι εθνικές αρχές που επικαλούνται λόγους ανωτέρας βίας οφείλουν να αποδεικνύουν τις άμεσες συνέπειές της στην εφαρμογή του συνόλου ή μέρους του στρατηγικού σχεδίου της ΚΓΠ.</w:t>
      </w:r>
    </w:p>
    <w:p w:rsidR="00A57BFD" w:rsidRDefault="005B0D19">
      <w:pPr>
        <w:pStyle w:val="Text1"/>
        <w:rPr>
          <w:noProof/>
        </w:rPr>
      </w:pPr>
      <w:r>
        <w:rPr>
          <w:noProof/>
        </w:rPr>
        <w:t>Έως την 31η Ιανουαρίου, το κράτος μέλος αποστέλλει στην Επιτροπή στοιχεία για τις αναφερόμενες στο πρώτο εδάφιο εξαιρέσεις όσον αφορά το δηλωθέν ποσό μέχρι το τέλος του προηγούμενου έτους.</w:t>
      </w:r>
    </w:p>
    <w:p w:rsidR="00A57BFD" w:rsidRDefault="005B0D19">
      <w:pPr>
        <w:pStyle w:val="ManualNumPar1"/>
        <w:rPr>
          <w:noProof/>
        </w:rPr>
      </w:pPr>
      <w:r>
        <w:t>5.</w:t>
      </w:r>
      <w:r>
        <w:tab/>
      </w:r>
      <w:r>
        <w:rPr>
          <w:noProof/>
        </w:rPr>
        <w:t>Η Επιτροπή ενημερώνει τα κράτη μέλη σε εύθετο χρόνο εάν υπάρχει κίνδυνος αυτόματης αποδέσμευσης. Τα ενημερώνει για το επίμαχο ποσό, όπως αυτό προκύπτει από τα στοιχεία που έχει στη διάθεσή της. Δίδεται στο κράτος μέλος προθεσμία δύο μηνών από την παραλαβή της εν λόγω γνωστοποίησης για να συμφωνήσει στο σχετικό ποσό ή να διατυπώσει τις παρατηρήσεις του. Η Επιτροπή προβαίνει στην αυτόματη αποδέσμευση το αργότερο εννέα μήνες μετά την τελευταία προθεσμία η οποία προκύπτει από την εφαρμογή των παραγράφων 1, 2 και 3.</w:t>
      </w:r>
    </w:p>
    <w:p w:rsidR="00A57BFD" w:rsidRDefault="005B0D19">
      <w:pPr>
        <w:pStyle w:val="ManualNumPar1"/>
        <w:rPr>
          <w:noProof/>
        </w:rPr>
      </w:pPr>
      <w:r>
        <w:t>6.</w:t>
      </w:r>
      <w:r>
        <w:tab/>
      </w:r>
      <w:r>
        <w:rPr>
          <w:noProof/>
        </w:rPr>
        <w:t xml:space="preserve">Σε περίπτωση αυτόματης αποδέσμευσης, η συνεισφορά του ΕΓΤΑΑ στο συγκεκριμένο στρατηγικό σχέδιο της ΚΓΠ μειώνεται για το συγκεκριμένο έτος κατά το ποσό της αυτόματης αποδέσμευσης. Το κράτος μέλος καταρτίζει προς έγκριση από την Επιτροπή αναθεωρημένο σχέδιο χρηματοδότησης για να κατανείμει το ποσό κατά το οποίο μειώνεται η ενίσχυση μεταξύ των τύπων παρεμβάσεων. Εάν δεν το </w:t>
      </w:r>
      <w:r>
        <w:rPr>
          <w:noProof/>
        </w:rPr>
        <w:lastRenderedPageBreak/>
        <w:t>πράξει, η Επιτροπή μειώνει κατ’ αναλογία τα ποσά που διατίθενται για κάθε τύπο παρέμβασης.</w:t>
      </w:r>
    </w:p>
    <w:p w:rsidR="00A57BFD" w:rsidRDefault="005B0D19">
      <w:pPr>
        <w:pStyle w:val="ChapterTitle0"/>
        <w:rPr>
          <w:noProof/>
        </w:rPr>
      </w:pPr>
      <w:r>
        <w:rPr>
          <w:noProof/>
        </w:rPr>
        <w:t xml:space="preserve">ΚΕΦΑΛΑΙΟ III </w:t>
      </w:r>
      <w:r>
        <w:rPr>
          <w:noProof/>
        </w:rPr>
        <w:br/>
        <w:t xml:space="preserve">Κοινές διατάξεις  </w:t>
      </w:r>
    </w:p>
    <w:p w:rsidR="00A57BFD" w:rsidRDefault="005B0D19">
      <w:pPr>
        <w:pStyle w:val="Titrearticle1"/>
        <w:rPr>
          <w:b/>
          <w:noProof/>
        </w:rPr>
      </w:pPr>
      <w:r>
        <w:rPr>
          <w:noProof/>
        </w:rPr>
        <w:t>Άρθρο 33</w:t>
      </w:r>
      <w:r>
        <w:rPr>
          <w:noProof/>
        </w:rPr>
        <w:br/>
      </w:r>
      <w:r>
        <w:rPr>
          <w:b/>
          <w:noProof/>
        </w:rPr>
        <w:t>Γεωργικό οικονομικό έτος</w:t>
      </w:r>
    </w:p>
    <w:p w:rsidR="00A57BFD" w:rsidRDefault="005B0D19">
      <w:pPr>
        <w:rPr>
          <w:noProof/>
        </w:rPr>
      </w:pPr>
      <w:r>
        <w:rPr>
          <w:noProof/>
        </w:rPr>
        <w:t>Με την επιφύλαξη των ειδικών διατάξεων για τις δηλώσεις δαπανών και εσόδων σχετικά με τη δημόσια παρέμβαση που καθορίζονται από την Επιτροπή σύμφωνα με το άρθρο 45 παράγραφος 3 πρώτο εδάφιο στοιχείο α), το γεωργικό οικονομικό έτος καλύπτει τις δαπάνες που καταβλήθηκαν και τα έσοδα που εισπράχθηκαν και καταχωρίσθηκαν στον προϋπολογισμό των ταμείων από τους οργανισμούς πληρωμών όσον αφορά το οικονομικό έτος «N» το οποίο αρχίζει στις 16 Οκτωβρίου του έτους «N-1» και λήγει στις 15 Οκτωβρίου του έτους «N».</w:t>
      </w:r>
    </w:p>
    <w:p w:rsidR="00A57BFD" w:rsidRDefault="005B0D19">
      <w:pPr>
        <w:pStyle w:val="Titrearticle1"/>
        <w:rPr>
          <w:b/>
          <w:noProof/>
        </w:rPr>
      </w:pPr>
      <w:r>
        <w:rPr>
          <w:noProof/>
        </w:rPr>
        <w:t>Άρθρο 34</w:t>
      </w:r>
      <w:r>
        <w:rPr>
          <w:noProof/>
        </w:rPr>
        <w:br/>
      </w:r>
      <w:r>
        <w:rPr>
          <w:b/>
          <w:noProof/>
        </w:rPr>
        <w:t>Αποκλεισμός της διπλής χρηματοδότησης</w:t>
      </w:r>
    </w:p>
    <w:p w:rsidR="00A57BFD" w:rsidRDefault="005B0D19">
      <w:pPr>
        <w:rPr>
          <w:noProof/>
        </w:rPr>
      </w:pPr>
      <w:r>
        <w:rPr>
          <w:noProof/>
        </w:rPr>
        <w:t>Τα κράτη μέλη εξασφαλίζουν ότι οι δαπάνες που χρηματοδοτούνται από το ΕΓΤΕ ή το ΕΓΤΑΑ δεν λαμβάνουν καμία άλλη χρηματοδότηση στο πλαίσιο του προϋπολογισμού της Ένωσης.</w:t>
      </w:r>
    </w:p>
    <w:p w:rsidR="00A57BFD" w:rsidRDefault="005B0D19">
      <w:pPr>
        <w:rPr>
          <w:noProof/>
        </w:rPr>
      </w:pPr>
      <w:r>
        <w:rPr>
          <w:noProof/>
        </w:rPr>
        <w:t>Στο πλαίσιο του ΕΓΤΑΑ, μια πράξη μπορεί να λάβει διάφορες μορφές στήριξης από το στρατηγικό σχέδιο της ΚΓΠ και από άλλα Ευρωπαϊκά Διαρθρωτικά και Επενδυτικά Ταμεία (ΕΔΕΤ) ή μέσα της Ένωσης μόνον εάν το συνολικό ποσό της σωρευμένης ενίσχυσης που χορηγείται στο πλαίσιο των διαφόρων μορφών στήριξης δεν υπερβαίνει τη μέγιστη ένταση ενίσχυσης ή το ποσό ενίσχυσης που ισχύει για τον εν λόγω τύπο παρέμβασης που αναφέρεται στον τίτλο III του κανονισμού (ΕΕ) αριθ. …/… (κανονισμού για το στρατηγικό σχέδιο της ΚΓΠ). Στις περιπτώσεις αυτές, τα κράτη μέλη δεν δηλώνουν δαπάνες στην Επιτροπή για:</w:t>
      </w:r>
    </w:p>
    <w:p w:rsidR="00A57BFD" w:rsidRDefault="005B0D19">
      <w:pPr>
        <w:rPr>
          <w:noProof/>
        </w:rPr>
      </w:pPr>
      <w:r>
        <w:rPr>
          <w:noProof/>
        </w:rPr>
        <w:t>α) στήριξη από άλλο ΕΔΕΤ ή μέσο της Ένωσης, ή</w:t>
      </w:r>
    </w:p>
    <w:p w:rsidR="00A57BFD" w:rsidRDefault="005B0D19">
      <w:pPr>
        <w:rPr>
          <w:noProof/>
        </w:rPr>
      </w:pPr>
      <w:r>
        <w:rPr>
          <w:noProof/>
        </w:rPr>
        <w:t>β) στήριξη από το ίδιο στρατηγικό σχέδιο της ΚΓΠ.</w:t>
      </w:r>
    </w:p>
    <w:p w:rsidR="00A57BFD" w:rsidRDefault="005B0D19">
      <w:pPr>
        <w:rPr>
          <w:noProof/>
        </w:rPr>
      </w:pPr>
      <w:r>
        <w:rPr>
          <w:noProof/>
        </w:rPr>
        <w:t>Το ποσό των δαπανών που εγγράφονται σε δήλωση δαπανών δύναται να υπολογίζεται κατ’ αναλογία, σύμφωνα με το έγγραφο που καθορίζει τους όρους της στήριξης.</w:t>
      </w:r>
    </w:p>
    <w:p w:rsidR="00A57BFD" w:rsidRDefault="005B0D19">
      <w:pPr>
        <w:pStyle w:val="Titrearticle1"/>
        <w:rPr>
          <w:noProof/>
        </w:rPr>
      </w:pPr>
      <w:r>
        <w:rPr>
          <w:noProof/>
        </w:rPr>
        <w:t>Άρθρο 35</w:t>
      </w:r>
      <w:r>
        <w:rPr>
          <w:noProof/>
        </w:rPr>
        <w:br/>
      </w:r>
      <w:r>
        <w:rPr>
          <w:b/>
          <w:noProof/>
        </w:rPr>
        <w:t>Επιλεξιμότητα των δαπανών που πραγματοποιούνται από τους οργανισμούς πληρωμών</w:t>
      </w:r>
    </w:p>
    <w:p w:rsidR="00A57BFD" w:rsidRDefault="005B0D19">
      <w:pPr>
        <w:rPr>
          <w:noProof/>
        </w:rPr>
      </w:pPr>
      <w:r>
        <w:rPr>
          <w:noProof/>
        </w:rPr>
        <w:t xml:space="preserve">Οι δαπάνες που αναφέρονται στο άρθρο 5 παράγραφος 2 και στο άρθρο 6 δύνανται να χρηματοδοτούνται από την Ένωση μόνον εάν: </w:t>
      </w:r>
    </w:p>
    <w:p w:rsidR="00A57BFD" w:rsidRDefault="005B0D19">
      <w:pPr>
        <w:pStyle w:val="Point0"/>
        <w:rPr>
          <w:noProof/>
        </w:rPr>
      </w:pPr>
      <w:r>
        <w:rPr>
          <w:noProof/>
        </w:rPr>
        <w:t>α)</w:t>
      </w:r>
      <w:r>
        <w:rPr>
          <w:noProof/>
        </w:rPr>
        <w:tab/>
        <w:t xml:space="preserve">έχουν πραγματοποιηθεί από διαπιστευμένους οργανισμούς πληρωμών, </w:t>
      </w:r>
    </w:p>
    <w:p w:rsidR="00A57BFD" w:rsidRDefault="005B0D19">
      <w:pPr>
        <w:pStyle w:val="Point0"/>
        <w:rPr>
          <w:noProof/>
        </w:rPr>
      </w:pPr>
      <w:r>
        <w:rPr>
          <w:noProof/>
        </w:rPr>
        <w:t>β)</w:t>
      </w:r>
      <w:r>
        <w:rPr>
          <w:noProof/>
        </w:rPr>
        <w:tab/>
        <w:t>έχουν πραγματοποιηθεί σύμφωνα με τους ισχύοντες κανόνες της Ένωσης, ή</w:t>
      </w:r>
    </w:p>
    <w:p w:rsidR="00A57BFD" w:rsidRDefault="005B0D19">
      <w:pPr>
        <w:pStyle w:val="Point0"/>
        <w:rPr>
          <w:noProof/>
        </w:rPr>
      </w:pPr>
      <w:r>
        <w:rPr>
          <w:noProof/>
        </w:rPr>
        <w:t>γ)</w:t>
      </w:r>
      <w:r>
        <w:rPr>
          <w:noProof/>
        </w:rPr>
        <w:tab/>
        <w:t>όσον αφορά τους τύπους παρεμβάσεων που αναφέρονται στον κανονισμό (ΕΕ) …/… [κανονισμό για το στρατηγικό σχέδιο της ΚΓΠ],</w:t>
      </w:r>
    </w:p>
    <w:p w:rsidR="00A57BFD" w:rsidRDefault="005B0D19">
      <w:pPr>
        <w:pStyle w:val="Point10"/>
        <w:rPr>
          <w:noProof/>
        </w:rPr>
      </w:pPr>
      <w:r>
        <w:rPr>
          <w:noProof/>
        </w:rPr>
        <w:t>i)</w:t>
      </w:r>
      <w:r>
        <w:rPr>
          <w:noProof/>
        </w:rPr>
        <w:tab/>
        <w:t xml:space="preserve">συνδέονται με αντίστοιχη αναφερόμενη εκροή, και </w:t>
      </w:r>
    </w:p>
    <w:p w:rsidR="00A57BFD" w:rsidRDefault="005B0D19">
      <w:pPr>
        <w:pStyle w:val="Point10"/>
        <w:rPr>
          <w:noProof/>
        </w:rPr>
      </w:pPr>
      <w:r>
        <w:rPr>
          <w:noProof/>
        </w:rPr>
        <w:lastRenderedPageBreak/>
        <w:t>ii)</w:t>
      </w:r>
      <w:r>
        <w:rPr>
          <w:noProof/>
        </w:rPr>
        <w:tab/>
        <w:t xml:space="preserve">έχουν πραγματοποιηθεί σύμφωνα με τα ισχύοντα συστήματα διακυβέρνησης και δεν επεκτείνονται στις προϋποθέσεις επιλεξιμότητας για μεμονωμένους δικαιούχους που καθορίζονται στα εθνικά στρατηγικά σχέδια της ΚΓΠ. </w:t>
      </w:r>
    </w:p>
    <w:p w:rsidR="00A57BFD" w:rsidRDefault="005B0D19">
      <w:pPr>
        <w:rPr>
          <w:noProof/>
        </w:rPr>
      </w:pPr>
      <w:r>
        <w:rPr>
          <w:noProof/>
        </w:rPr>
        <w:t>Το στοιχείο γ) σημείο i) του πρώτου εδαφίου δεν εφαρμόζεται στις προκαταβολές που καταβάλλονται στους δικαιούχους σύμφωνα με τύπους παρεμβάσεων που αναφέρονται στον κανονισμό (ΕΕ) αριθ..../... [κανονισμό για το στρατηγικό σχέδιο της ΚΓΠ].</w:t>
      </w:r>
    </w:p>
    <w:p w:rsidR="00A57BFD" w:rsidRDefault="005B0D19">
      <w:pPr>
        <w:pStyle w:val="Titrearticle1"/>
        <w:rPr>
          <w:b/>
          <w:noProof/>
        </w:rPr>
      </w:pPr>
      <w:r>
        <w:rPr>
          <w:noProof/>
        </w:rPr>
        <w:t>Άρθρο 36</w:t>
      </w:r>
      <w:r>
        <w:rPr>
          <w:noProof/>
        </w:rPr>
        <w:br/>
      </w:r>
      <w:r>
        <w:rPr>
          <w:b/>
          <w:noProof/>
        </w:rPr>
        <w:t>Τήρηση των προθεσμιών πληρωμής</w:t>
      </w:r>
    </w:p>
    <w:p w:rsidR="00A57BFD" w:rsidRDefault="005B0D19">
      <w:pPr>
        <w:rPr>
          <w:noProof/>
        </w:rPr>
      </w:pPr>
      <w:r>
        <w:rPr>
          <w:noProof/>
        </w:rPr>
        <w:t>Σε περίπτωση που οι προθεσμίες πληρωμής καθορίζονται από το δίκαιο της Ένωσης, οποιαδήποτε πληρωμή πραγματοποιείται από τους οργανισμούς πληρωμών προς τους δικαιούχους πριν από την έναρξη και μετά τη λήξη της προθεσμίας πληρωμής καθιστά τις εν λόγω πληρωμές μη επιλέξιμες για ενωσιακή χρηματοδότηση.</w:t>
      </w:r>
    </w:p>
    <w:p w:rsidR="00A57BFD" w:rsidRDefault="005B0D19">
      <w:pPr>
        <w:rPr>
          <w:noProof/>
        </w:rPr>
      </w:pPr>
      <w:r>
        <w:rPr>
          <w:noProof/>
        </w:rPr>
        <w:t>Η Επιτροπή εξουσιοδοτείται να εκδίδει κατ’ εξουσιοδότηση πράξεις σύμφωνα με το άρθρο 100, με σκοπό τη συμπλήρωση του παρόντος κανονισμού με κανόνες όσον αφορά τις συνθήκες και τους όρους υπό τους οποίους οι πληρωμές που αναφέρονται στο πρώτο εδάφιο του παρόντος άρθρου μπορούν να θεωρηθούν επιλέξιμες, λαμβάνοντας υπόψη την αρχή της αναλογικότητας.</w:t>
      </w:r>
    </w:p>
    <w:p w:rsidR="00A57BFD" w:rsidRDefault="005B0D19">
      <w:pPr>
        <w:pStyle w:val="Titrearticle1"/>
        <w:rPr>
          <w:b/>
          <w:noProof/>
        </w:rPr>
      </w:pPr>
      <w:r>
        <w:rPr>
          <w:noProof/>
        </w:rPr>
        <w:t>Άρθρο 37</w:t>
      </w:r>
      <w:r>
        <w:rPr>
          <w:noProof/>
        </w:rPr>
        <w:br/>
      </w:r>
      <w:r>
        <w:rPr>
          <w:b/>
          <w:noProof/>
        </w:rPr>
        <w:t>Μείωση των μηνιαίων και ενδιάμεσων πληρωμών</w:t>
      </w:r>
    </w:p>
    <w:p w:rsidR="00A57BFD" w:rsidRDefault="005B0D19">
      <w:pPr>
        <w:pStyle w:val="ManualNumPar1"/>
        <w:rPr>
          <w:noProof/>
        </w:rPr>
      </w:pPr>
      <w:r>
        <w:t>1.</w:t>
      </w:r>
      <w:r>
        <w:tab/>
      </w:r>
      <w:r>
        <w:rPr>
          <w:noProof/>
        </w:rPr>
        <w:t>Όταν η Επιτροπή διαπιστώνει, με βάση τις δηλώσεις δαπανών ή τα στοιχεία που αναφέρονται στο άρθρο 88, ότι έχει σημειωθεί υπέρβαση των δημοσιονομικών ανώτατων ορίων που καθορίζονται από το δίκαιο της Ένωσης, μειώνει τις μηνιαίες ή ενδιάμεσες πληρωμές προς το εν λόγω κράτος μέλος στο πλαίσιο των εκτελεστικών πράξεων που αφορούν τις μηνιαίες πληρωμές που αναφέρονται στο άρθρο 19 παράγραφος 3 ή στο πλαίσιο των ενδιάμεσων πληρωμών που αναφέρονται στο άρθρο 30</w:t>
      </w:r>
      <w:r>
        <w:rPr>
          <w:b/>
          <w:noProof/>
        </w:rPr>
        <w:t>.</w:t>
      </w:r>
    </w:p>
    <w:p w:rsidR="00A57BFD" w:rsidRDefault="005B0D19">
      <w:pPr>
        <w:pStyle w:val="ManualNumPar1"/>
        <w:rPr>
          <w:noProof/>
        </w:rPr>
      </w:pPr>
      <w:r>
        <w:t>2.</w:t>
      </w:r>
      <w:r>
        <w:tab/>
      </w:r>
      <w:r>
        <w:rPr>
          <w:noProof/>
        </w:rPr>
        <w:t>Όταν η Επιτροπή διαπιστώνει, με βάση τις δηλώσεις δαπανών ή τα στοιχεία που αναφέρονται στο άρθρο 88, ότι δεν έχουν τηρηθεί οι προθεσμίες πληρωμής που αναφέρονται στο άρθρο 36, παρέχεται στο κράτος μέλος η δυνατότητα να υποβάλει τις παρατηρήσεις του εντός προθεσμίας τουλάχιστον 30 ημερών. Εάν το κράτος μέλος δεν υποβάλει τις παρατηρήσεις του εντός της προθεσμίας αυτής ή εάν η Επιτροπή θεωρεί ότι η απάντηση είναι μη ικανοποιητική, η Επιτροπή μπορεί να μειώσει ή να αναστείλει τις μηνιαίες ή ενδιάμεσες πληρωμές στο οικείο κράτος μέλος στο πλαίσιο των εκτελεστικών πράξεων για τις μηνιαίες πληρωμές που αναφέρονται στο άρθρο 19 παράγραφος 3 ή στο πλαίσιο των ενδιάμεσων πληρωμών που αναφέρονται στο άρθρο 30.</w:t>
      </w:r>
    </w:p>
    <w:p w:rsidR="00A57BFD" w:rsidRDefault="005B0D19">
      <w:pPr>
        <w:pStyle w:val="ManualNumPar1"/>
        <w:rPr>
          <w:noProof/>
        </w:rPr>
      </w:pPr>
      <w:r>
        <w:t>3.</w:t>
      </w:r>
      <w:r>
        <w:tab/>
      </w:r>
      <w:r>
        <w:rPr>
          <w:noProof/>
        </w:rPr>
        <w:t xml:space="preserve">Οι μειώσεις δυνάμει του παρόντος άρθρου ισχύουν με την επιφύλαξη του άρθρου 51. </w:t>
      </w:r>
    </w:p>
    <w:p w:rsidR="00A57BFD" w:rsidRDefault="005B0D19">
      <w:pPr>
        <w:pStyle w:val="ManualNumPar1"/>
        <w:rPr>
          <w:noProof/>
        </w:rPr>
      </w:pPr>
      <w:r>
        <w:t>4.</w:t>
      </w:r>
      <w:r>
        <w:tab/>
      </w:r>
      <w:r>
        <w:rPr>
          <w:noProof/>
        </w:rPr>
        <w:t>Η Επιτροπή δύναται να εκδίδει εκτελεστικές πράξεις που θεσπίζουν περαιτέρω κανόνες σχετικά με τη διαδικασία και άλλες πρακτικές ρυθμίσεις για την ορθή λειτουργία του μηχανισμού που προβλέπεται στο άρθρο 36. Οι εν λόγω εκτελεστικές πράξεις εκδίδονται σύμφωνα με τη διαδικασία εξέτασης που προβλέπεται στο άρθρο 101 παράγραφος 3.</w:t>
      </w:r>
    </w:p>
    <w:p w:rsidR="00A57BFD" w:rsidRDefault="005B0D19">
      <w:pPr>
        <w:pStyle w:val="Titrearticle1"/>
        <w:rPr>
          <w:b/>
          <w:noProof/>
        </w:rPr>
      </w:pPr>
      <w:r>
        <w:rPr>
          <w:noProof/>
        </w:rPr>
        <w:lastRenderedPageBreak/>
        <w:t>Άρθρο 38</w:t>
      </w:r>
      <w:r>
        <w:rPr>
          <w:noProof/>
        </w:rPr>
        <w:br/>
      </w:r>
      <w:r>
        <w:rPr>
          <w:b/>
          <w:noProof/>
        </w:rPr>
        <w:t>Αναστολή των πληρωμών σε σχέση με την ετήσια εκκαθάριση</w:t>
      </w:r>
    </w:p>
    <w:p w:rsidR="00A57BFD" w:rsidRDefault="005B0D19">
      <w:pPr>
        <w:pStyle w:val="ManualNumPar1"/>
        <w:rPr>
          <w:noProof/>
        </w:rPr>
      </w:pPr>
      <w:r>
        <w:t>1.</w:t>
      </w:r>
      <w:r>
        <w:tab/>
      </w:r>
      <w:r>
        <w:rPr>
          <w:noProof/>
        </w:rPr>
        <w:t>Εάν τα κράτη μέλη δεν υποβάλουν τα έγγραφα που αναφέρονται στο άρθρο 8 παράγραφος 3 και στο άρθρο 11 παράγραφος 1 εντός των προθεσμιών που προβλέπονται στο άρθρο 8 παράγραφος 3, η Επιτροπή δύναται να εκδώσει εκτελεστικές πράξεις για την αναστολή του συνολικού ποσού των μηνιαίων πληρωμών που αναφέρονται στο άρθρο 19 παράγραφος 3. Η Επιτροπή επιστρέφει τα ανασταλέντα ποσά μόλις λάβει τα ελλείποντα έγγραφα από το οικείο κράτος μέλος, υπό τον όρο ότι η ημερομηνία παραλαβής δεν υπερβαίνει τους έξι μήνες από τη λήξη της προθεσμίας.</w:t>
      </w:r>
    </w:p>
    <w:p w:rsidR="00A57BFD" w:rsidRDefault="005B0D19">
      <w:pPr>
        <w:pStyle w:val="Text1"/>
        <w:rPr>
          <w:b/>
          <w:noProof/>
        </w:rPr>
      </w:pPr>
      <w:r>
        <w:rPr>
          <w:noProof/>
        </w:rPr>
        <w:t>Σε ό,τι αφορά τις ενδιάμεσες πληρωμές που αναφέρονται στο άρθρο 30, οι δηλώσεις δαπανών θεωρούνται μη παραδεκτές σύμφωνα με την παράγραφο 6 του εν λόγω άρθρου.</w:t>
      </w:r>
    </w:p>
    <w:p w:rsidR="00A57BFD" w:rsidRDefault="005B0D19">
      <w:pPr>
        <w:pStyle w:val="ManualNumPar1"/>
        <w:rPr>
          <w:noProof/>
        </w:rPr>
      </w:pPr>
      <w:r>
        <w:t>2.</w:t>
      </w:r>
      <w:r>
        <w:tab/>
      </w:r>
      <w:r>
        <w:rPr>
          <w:noProof/>
        </w:rPr>
        <w:t>Όταν, στο πλαίσιο της ετήσιας εκκαθάρισης επιδόσεων που αναφέρεται στο άρθρο 52, η Επιτροπή διαπιστώνει ότι η διαφορά μεταξύ της δηλωθείσας δαπάνης και του ποσού που αντιστοιχεί στη σχετική δηλωθείσα εκροή υπερβαίνει το 50 % και το κράτος μέλος δεν μπορεί να την αιτιολογήσει δεόντως, δύναται να εκδίδει εκτελεστικές πράξεις που αναστέλλουν τις μηνιαίες πληρωμές που αναφέρονται στο άρθρο 19 παράγραφος 3 ή τις ενδιάμεσες πληρωμές που αναφέρονται στο άρθρο 30.</w:t>
      </w:r>
    </w:p>
    <w:p w:rsidR="00A57BFD" w:rsidRDefault="005B0D19">
      <w:pPr>
        <w:pStyle w:val="Text1"/>
        <w:rPr>
          <w:noProof/>
        </w:rPr>
      </w:pPr>
      <w:r>
        <w:rPr>
          <w:noProof/>
        </w:rPr>
        <w:t>Η αναστολή εφαρμόζεται στις σχετικές δαπάνες για τις παρεμβάσεις που αποτέλεσαν αντικείμενο της μείωσης σύμφωνα με το άρθρο 52 παράγραφος 2 και το ποσό που αναστέλλεται δεν υπερβαίνει το ποσοστό το οποίο αντιστοιχεί στη μείωση που εφαρμόζεται σύμφωνα με το άρθρο 52 παράγραφος 2. Τα ποσά που αναστέλλονται επιστρέφονται από την Επιτροπή στα κράτη μέλη</w:t>
      </w:r>
      <w:r>
        <w:rPr>
          <w:i/>
          <w:noProof/>
        </w:rPr>
        <w:t xml:space="preserve"> </w:t>
      </w:r>
      <w:r>
        <w:rPr>
          <w:noProof/>
        </w:rPr>
        <w:t>ή μειώνονται οριστικά με την εκτελεστική πράξη που αναφέρεται στο άρθρο 52.</w:t>
      </w:r>
    </w:p>
    <w:p w:rsidR="00A57BFD" w:rsidRDefault="005B0D19">
      <w:pPr>
        <w:pStyle w:val="Text1"/>
        <w:rPr>
          <w:noProof/>
        </w:rPr>
      </w:pPr>
      <w:r>
        <w:rPr>
          <w:noProof/>
        </w:rPr>
        <w:t>Ανατίθεται στην Επιτροπή η εξουσία να εκδίδει κατ’ εξουσιοδότηση πράξεις σύμφωνα με το άρθρο 100 με σκοπό τη συμπλήρωση του παρόντος κανονισμού με κανόνες σχετικά με το ποσοστό αναστολής πληρωμών.</w:t>
      </w:r>
    </w:p>
    <w:p w:rsidR="00A57BFD" w:rsidRDefault="005B0D19">
      <w:pPr>
        <w:pStyle w:val="ManualNumPar1"/>
        <w:rPr>
          <w:noProof/>
        </w:rPr>
      </w:pPr>
      <w:r>
        <w:t>3.</w:t>
      </w:r>
      <w:r>
        <w:tab/>
      </w:r>
      <w:r>
        <w:rPr>
          <w:noProof/>
        </w:rPr>
        <w:t>Οι εκτελεστικές πράξεις του παρόντος άρθρου εκδίδονται με τη συμβουλευτική διαδικασία του άρθρου 101 παράγραφος 2.</w:t>
      </w:r>
    </w:p>
    <w:p w:rsidR="00A57BFD" w:rsidRDefault="005B0D19">
      <w:pPr>
        <w:pStyle w:val="Text1"/>
        <w:rPr>
          <w:noProof/>
        </w:rPr>
      </w:pPr>
      <w:r>
        <w:rPr>
          <w:noProof/>
        </w:rPr>
        <w:t>Πριν από την έκδοση των εν λόγω εκτελεστικών πράξεων, η Επιτροπή ενημερώνει το οικείο κράτος μέλος για την πρόθεσή της και παρέχει στο κράτος μέλος την ευκαιρία να υποβάλει τις παρατηρήσεις του εντός ελάχιστης προθεσμίας 30 ημερών.</w:t>
      </w:r>
    </w:p>
    <w:p w:rsidR="00A57BFD" w:rsidRDefault="005B0D19">
      <w:pPr>
        <w:pStyle w:val="Text1"/>
        <w:rPr>
          <w:noProof/>
        </w:rPr>
      </w:pPr>
      <w:r>
        <w:rPr>
          <w:noProof/>
        </w:rPr>
        <w:t>Οι εκτελεστικές πράξεις που καθορίζουν τις μηνιαίες πληρωμές του άρθρου 19 παράγραφος 3 ή τις ενδιάμεσες πληρωμές του άρθρου 30 λαμβάνουν υπόψη τις εκτελεστικές πράξεις που εκδίδονται βάσει της παρούσας παραγράφου.</w:t>
      </w:r>
    </w:p>
    <w:p w:rsidR="00A57BFD" w:rsidRDefault="005B0D19">
      <w:pPr>
        <w:pStyle w:val="Titrearticle1"/>
        <w:rPr>
          <w:b/>
          <w:noProof/>
        </w:rPr>
      </w:pPr>
      <w:r>
        <w:rPr>
          <w:noProof/>
        </w:rPr>
        <w:t>Άρθρο 39</w:t>
      </w:r>
      <w:r>
        <w:rPr>
          <w:noProof/>
        </w:rPr>
        <w:br/>
      </w:r>
      <w:r>
        <w:rPr>
          <w:b/>
          <w:noProof/>
        </w:rPr>
        <w:t>Αναστολή πληρωμών σε σχέση με την πολυετή παρακολούθηση επιδόσεων</w:t>
      </w:r>
    </w:p>
    <w:p w:rsidR="00A57BFD" w:rsidRDefault="005B0D19">
      <w:pPr>
        <w:pStyle w:val="ManualNumPar1"/>
        <w:rPr>
          <w:noProof/>
        </w:rPr>
      </w:pPr>
      <w:r>
        <w:t>1.</w:t>
      </w:r>
      <w:r>
        <w:tab/>
      </w:r>
      <w:r>
        <w:rPr>
          <w:noProof/>
        </w:rPr>
        <w:t xml:space="preserve">Σε περίπτωση καθυστερημένης ή ανεπαρκούς προόδου ως προς την επίτευξη των στόχων, όπως ορίζονται στο εθνικό στρατηγικό σχέδιο της ΚΓΠ και παρακολουθούνται σύμφωνα με τα άρθρα </w:t>
      </w:r>
      <w:r>
        <w:rPr>
          <w:i/>
          <w:noProof/>
        </w:rPr>
        <w:t> </w:t>
      </w:r>
      <w:r>
        <w:rPr>
          <w:noProof/>
        </w:rPr>
        <w:t>115 και 116 του κανονισμού (ΕΕ) …/… [κανονισμός για το στρατηγικό σχέδιο της ΚΓΠ], η Επιτροπή δύναται να ζητήσει από το οικείο κράτος μέλος να λάβει τα απαραίτητα διορθωτικά μέτρα σύμφωνα με σχέδιο δράσης με σαφείς δείκτες προόδου, που θα καταρτιστεί σε διαβούλευση με την Επιτροπή.</w:t>
      </w:r>
    </w:p>
    <w:p w:rsidR="00A57BFD" w:rsidRDefault="005B0D19">
      <w:pPr>
        <w:pStyle w:val="Text1"/>
        <w:rPr>
          <w:noProof/>
        </w:rPr>
      </w:pPr>
      <w:r>
        <w:rPr>
          <w:noProof/>
        </w:rPr>
        <w:lastRenderedPageBreak/>
        <w:t>Η Επιτροπή δύναται να εκδίδει εκτελεστικές πράξεις που θεσπίζουν περαιτέρω κανόνες σχετικά με τα στοιχεία των σχεδίων δράσης και τη διαδικασία κατάρτισης των σχεδίων δράσης. Οι εν λόγω εκτελεστικές πράξεις εκδίδονται σύμφωνα με τη διαδικασία εξέτασης που προβλέπεται στο άρθρο 101 παράγραφος 3.</w:t>
      </w:r>
    </w:p>
    <w:p w:rsidR="00A57BFD" w:rsidRDefault="005B0D19">
      <w:pPr>
        <w:pStyle w:val="ManualNumPar1"/>
        <w:rPr>
          <w:noProof/>
        </w:rPr>
      </w:pPr>
      <w:r>
        <w:t>2.</w:t>
      </w:r>
      <w:r>
        <w:tab/>
      </w:r>
      <w:r>
        <w:rPr>
          <w:noProof/>
        </w:rPr>
        <w:t>Σε περίπτωση που τα κράτη μέλη δεν υποβάλουν ή εφαρμόσουν το σχέδιο δράσης που αναφέρεται στην παράγραφο 1 ή το εν λόγω σχέδιο δράσης είναι προδήλως ανεπαρκές για την αντιμετώπιση της κατάστασης, η Επιτροπή δύναται να εκδίδει εκτελεστικές πράξεις με τις οποίες αναστέλλονται οι μηνιαίες πληρωμές που αναφέρονται στο άρθρο 19 παράγραφος 3 ή οι ενδιάμεσες πληρωμές που αναφέρονται στο άρθρο 30.</w:t>
      </w:r>
    </w:p>
    <w:p w:rsidR="00A57BFD" w:rsidRDefault="005B0D19">
      <w:pPr>
        <w:pStyle w:val="Text1"/>
        <w:rPr>
          <w:noProof/>
        </w:rPr>
      </w:pPr>
      <w:r>
        <w:rPr>
          <w:noProof/>
        </w:rPr>
        <w:t>Η αναστολή επιβάλλεται σύμφωνα με την αρχή της αναλογικότητας στις σχετικές δαπάνες που σχετίζονται με τις παρεμβάσεις οι οποίες προβλεπόταν να καλυφθούν από το εν λόγω σχέδιο δράσης. Η Επιτροπή επιστρέφει τα ανασταλέντα ποσά όταν, με βάση την επανεξέταση των επιδόσεων που αναφέρεται στο άρθρο 121 του κανονισμού (ΕΕ) …/… [κανονισμός για το στρατηγικό σχέδιο της ΚΓΠ],</w:t>
      </w:r>
      <w:r>
        <w:rPr>
          <w:i/>
          <w:noProof/>
        </w:rPr>
        <w:t xml:space="preserve"> </w:t>
      </w:r>
      <w:r>
        <w:rPr>
          <w:noProof/>
        </w:rPr>
        <w:t>επιτυγχάνεται ικανοποιητική πρόοδος στην επίτευξη των στόχων. Εάν η κατάσταση δεν έχει αποκατασταθεί έως την περάτωση του εθνικού στρατηγικού σχεδίου της ΚΓΠ, η Επιτροπή μπορεί να εκδώσει εκτελεστική πράξη που προβλέπει οριστική μείωση του ποσού που έχει ανασταλεί για το οικείο κράτος μέλος.</w:t>
      </w:r>
    </w:p>
    <w:p w:rsidR="00A57BFD" w:rsidRDefault="005B0D19">
      <w:pPr>
        <w:pStyle w:val="Text1"/>
        <w:rPr>
          <w:noProof/>
        </w:rPr>
      </w:pPr>
      <w:r>
        <w:rPr>
          <w:noProof/>
        </w:rPr>
        <w:t xml:space="preserve">Η Επιτροπή εξουσιοδοτείται να εκδίδει κατ’ εξουσιοδότηση πράξεις σύμφωνα με το άρθρο 100 με σκοπό τη συμπλήρωση του παρόντος κανονισμού με κανόνες σχετικά με το ποσοστό και τη διάρκεια της αναστολής των πληρωμών και την προϋπόθεση επιστροφής ή μείωσης των εν λόγω ποσών όσον αφορά την πολυετή παρακολούθηση των επιδόσεων. </w:t>
      </w:r>
    </w:p>
    <w:p w:rsidR="00A57BFD" w:rsidRDefault="005B0D19">
      <w:pPr>
        <w:pStyle w:val="ManualNumPar1"/>
        <w:rPr>
          <w:noProof/>
        </w:rPr>
      </w:pPr>
      <w:r>
        <w:t>3.</w:t>
      </w:r>
      <w:r>
        <w:tab/>
      </w:r>
      <w:r>
        <w:rPr>
          <w:noProof/>
        </w:rPr>
        <w:t>Οι εκτελεστικές πράξεις που προβλέπονται στις παραγράφους 1 και 2 εκδίδονται με τη συμβουλευτική διαδικασία του άρθρου 101 παράγραφος 2.</w:t>
      </w:r>
    </w:p>
    <w:p w:rsidR="00A57BFD" w:rsidRDefault="005B0D19">
      <w:pPr>
        <w:pStyle w:val="Text1"/>
        <w:rPr>
          <w:noProof/>
        </w:rPr>
      </w:pPr>
      <w:r>
        <w:rPr>
          <w:noProof/>
        </w:rPr>
        <w:t>Πριν από την έκδοση των εν λόγω εκτελεστικών πράξεων, η Επιτροπή ενημερώνει το οικείο κράτος μέλος για την πρόθεσή της και του ζητά να απαντήσει εντός ελάχιστης προθεσμίας 30 ημερών.</w:t>
      </w:r>
    </w:p>
    <w:p w:rsidR="00A57BFD" w:rsidRDefault="005B0D19">
      <w:pPr>
        <w:pStyle w:val="Titrearticle1"/>
        <w:rPr>
          <w:noProof/>
        </w:rPr>
      </w:pPr>
      <w:r>
        <w:rPr>
          <w:noProof/>
        </w:rPr>
        <w:t>Άρθρο 40</w:t>
      </w:r>
      <w:r>
        <w:rPr>
          <w:noProof/>
        </w:rPr>
        <w:br/>
      </w:r>
      <w:r>
        <w:rPr>
          <w:b/>
          <w:noProof/>
        </w:rPr>
        <w:t>Αναστολή πληρωμών σε σχέση με ελλείψεις στα συστήματα διακυβέρνησης</w:t>
      </w:r>
    </w:p>
    <w:p w:rsidR="00A57BFD" w:rsidRDefault="005B0D19">
      <w:pPr>
        <w:pStyle w:val="ManualNumPar1"/>
        <w:rPr>
          <w:noProof/>
        </w:rPr>
      </w:pPr>
      <w:r>
        <w:t>1.</w:t>
      </w:r>
      <w:r>
        <w:tab/>
      </w:r>
      <w:r>
        <w:rPr>
          <w:noProof/>
        </w:rPr>
        <w:t>Σε περίπτωση σοβαρών ελλείψεων στη λειτουργία των συστημάτων διακυβέρνησης, η Επιτροπή δύναται να ζητήσει από το οικείο κράτος μέλος να εφαρμόσει τις απαραίτητες διορθωτικές ενέργειες, σύμφωνα με σχέδιο δράσης με σαφείς δείκτες προόδου εκπονούμενο σε συνεργασία με τη Επιτροπή.</w:t>
      </w:r>
    </w:p>
    <w:p w:rsidR="00A57BFD" w:rsidRDefault="005B0D19">
      <w:pPr>
        <w:pStyle w:val="Text1"/>
        <w:rPr>
          <w:noProof/>
        </w:rPr>
      </w:pPr>
      <w:r>
        <w:rPr>
          <w:noProof/>
        </w:rPr>
        <w:t>Η Επιτροπή δύναται να εκδίδει εκτελεστικές πράξεις που θεσπίζουν περαιτέρω κανόνες σχετικά με τα στοιχεία των σχεδίων δράσης και τη διαδικασία κατάρτισης των σχεδίων δράσης. Οι εν λόγω εκτελεστικές πράξεις εκδίδονται σύμφωνα με τη διαδικασία εξέτασης που προβλέπεται στο άρθρο 101 παράγραφος 3.</w:t>
      </w:r>
    </w:p>
    <w:p w:rsidR="00A57BFD" w:rsidRDefault="005B0D19">
      <w:pPr>
        <w:pStyle w:val="ManualNumPar1"/>
        <w:rPr>
          <w:noProof/>
        </w:rPr>
      </w:pPr>
      <w:r>
        <w:t>2.</w:t>
      </w:r>
      <w:r>
        <w:tab/>
      </w:r>
      <w:r>
        <w:rPr>
          <w:noProof/>
        </w:rPr>
        <w:t>Σε περίπτωση που τα κράτη μέλη δεν υποβάλουν ή εφαρμόσουν το σχέδιο δράσης που αναφέρεται στην παράγραφο 1 ή το εν λόγω σχέδιο δράσης είναι προδήλως ανεπαρκές για την αντιμετώπιση της κατάστασης, η Επιτροπή δύναται να εκδίδει εκτελεστικές πράξεις με τις οποίες αναστέλλονται οι μηνιαίες πληρωμές που αναφέρονται στο άρθρο 19 παράγραφος 3 ή οι ενδιάμεσες πληρωμές που αναφέρονται στο άρθρο 30.</w:t>
      </w:r>
    </w:p>
    <w:p w:rsidR="00A57BFD" w:rsidRDefault="005B0D19">
      <w:pPr>
        <w:pStyle w:val="Text1"/>
        <w:rPr>
          <w:noProof/>
        </w:rPr>
      </w:pPr>
      <w:r>
        <w:rPr>
          <w:noProof/>
        </w:rPr>
        <w:lastRenderedPageBreak/>
        <w:t>Η αναστολή επιβάλλεται σύμφωνα με την αρχή της αναλογικότητας στη σχετική δαπάνη που πραγματοποιείται από το κράτος μέλος στο οποίο διαπιστώνονται ελλείψεις, για διάστημα που θα πρέπει να καθοριστεί στις εκτελεστικές πράξεις του πρώτου εδαφίου και δεν υπερβαίνει τους δώδεκα μήνες. Εάν εξακολουθούν να πληρούνται οι προϋποθέσεις για την αναστολή, η εν λόγω προθεσμία μπορεί να παραταθεί με εκτελεστικές πράξεις της Επιτροπής για περαιτέρω διάστημα που δεν υπερβαίνει συνολικά τους 12 μήνες. Τα ποσά που αναστέλλονται λαμβάνονται υπόψη κατά την έκδοση των εκτελεστικών πράξεων που αναφέρονται στο άρθρο 53.</w:t>
      </w:r>
    </w:p>
    <w:p w:rsidR="00A57BFD" w:rsidRDefault="005B0D19">
      <w:pPr>
        <w:pStyle w:val="ManualNumPar1"/>
        <w:rPr>
          <w:noProof/>
        </w:rPr>
      </w:pPr>
      <w:r>
        <w:t>3.</w:t>
      </w:r>
      <w:r>
        <w:tab/>
      </w:r>
      <w:r>
        <w:rPr>
          <w:noProof/>
        </w:rPr>
        <w:t>Οι εκτελεστικές πράξεις του παρόντος άρθρου εκδίδονται με τη συμβουλευτική διαδικασία του άρθρου 101 παράγραφος 2.</w:t>
      </w:r>
    </w:p>
    <w:p w:rsidR="00A57BFD" w:rsidRDefault="005B0D19">
      <w:pPr>
        <w:pStyle w:val="Text1"/>
        <w:rPr>
          <w:noProof/>
        </w:rPr>
      </w:pPr>
      <w:r>
        <w:rPr>
          <w:noProof/>
        </w:rPr>
        <w:t>Πριν από την έκδοση των εκτελεστικών πράξεων της παραγράφου 2, η Επιτροπή ενημερώνει το σχετικό κράτος μέλος για την πρόθεσή της και του ζητά να απαντήσει εντός ελάχιστης προθεσμίας 30 ημερών.</w:t>
      </w:r>
    </w:p>
    <w:p w:rsidR="00A57BFD" w:rsidRDefault="005B0D19">
      <w:pPr>
        <w:pStyle w:val="Text1"/>
        <w:rPr>
          <w:noProof/>
        </w:rPr>
      </w:pPr>
      <w:r>
        <w:rPr>
          <w:noProof/>
        </w:rPr>
        <w:t>Οι εκτελεστικές πράξεις που καθορίζουν τις μηνιαίες πληρωμές του άρθρου 19 παράγραφος 3 ή τις ενδιάμεσες πληρωμές του άρθρου 30 λαμβάνουν υπόψη τις εκτελεστικές πράξεις που εκδίδονται βάσει του πρώτου εδαφίου της παρούσας παραγράφου.</w:t>
      </w:r>
    </w:p>
    <w:p w:rsidR="00A57BFD" w:rsidRDefault="005B0D19">
      <w:pPr>
        <w:pStyle w:val="Titrearticle1"/>
        <w:rPr>
          <w:b/>
          <w:noProof/>
        </w:rPr>
      </w:pPr>
      <w:r>
        <w:rPr>
          <w:noProof/>
        </w:rPr>
        <w:t>Άρθρο 41</w:t>
      </w:r>
      <w:r>
        <w:rPr>
          <w:noProof/>
        </w:rPr>
        <w:br/>
      </w:r>
      <w:r>
        <w:rPr>
          <w:b/>
          <w:noProof/>
        </w:rPr>
        <w:t>Τήρηση χωριστών λογαριασμών</w:t>
      </w:r>
    </w:p>
    <w:p w:rsidR="00A57BFD" w:rsidRDefault="005B0D19">
      <w:pPr>
        <w:rPr>
          <w:noProof/>
        </w:rPr>
      </w:pPr>
      <w:r>
        <w:rPr>
          <w:noProof/>
        </w:rPr>
        <w:t>Κάθε οργανισμός πληρωμών τηρεί χωριστούς λογαριασμούς για τις πιστώσεις που εγγράφονται στον προϋπολογισμό της Ένωσης για τα ταμεία.</w:t>
      </w:r>
    </w:p>
    <w:p w:rsidR="00A57BFD" w:rsidRDefault="005B0D19">
      <w:pPr>
        <w:pStyle w:val="Titrearticle1"/>
        <w:rPr>
          <w:b/>
          <w:noProof/>
        </w:rPr>
      </w:pPr>
      <w:r>
        <w:rPr>
          <w:noProof/>
        </w:rPr>
        <w:t>Άρθρο 42</w:t>
      </w:r>
      <w:r>
        <w:rPr>
          <w:noProof/>
        </w:rPr>
        <w:br/>
      </w:r>
      <w:r>
        <w:rPr>
          <w:b/>
          <w:noProof/>
        </w:rPr>
        <w:t>Πληρωμή στους δικαιούχους</w:t>
      </w:r>
    </w:p>
    <w:p w:rsidR="00A57BFD" w:rsidRDefault="005B0D19">
      <w:pPr>
        <w:pStyle w:val="ManualNumPar1"/>
        <w:rPr>
          <w:noProof/>
        </w:rPr>
      </w:pPr>
      <w:r>
        <w:t>1.</w:t>
      </w:r>
      <w:r>
        <w:tab/>
      </w:r>
      <w:r>
        <w:rPr>
          <w:noProof/>
        </w:rPr>
        <w:t>Τα κράτη μέλη διασφαλίζουν ότι οι πληρωμές που αντιστοιχούν στη χρηματοδότηση που προβλέπεται στον παρόντα κανονισμό καταβάλλονται στο ακέραιο στους δικαιούχους, εκτός αν το δίκαιο της Ένωσης προβλέπει ρητώς διαφορετικά.</w:t>
      </w:r>
    </w:p>
    <w:p w:rsidR="00A57BFD" w:rsidRDefault="005B0D19">
      <w:pPr>
        <w:pStyle w:val="ManualNumPar1"/>
        <w:rPr>
          <w:noProof/>
        </w:rPr>
      </w:pPr>
      <w:bookmarkStart w:id="50" w:name="ai5j2n75p1"/>
      <w:r>
        <w:t>2.</w:t>
      </w:r>
      <w:r>
        <w:tab/>
      </w:r>
      <w:r>
        <w:rPr>
          <w:noProof/>
        </w:rPr>
        <w:t>Τα κράτη μέλη μεριμνούν ώστε</w:t>
      </w:r>
      <w:bookmarkStart w:id="51" w:name="ai5j2n75p1q1"/>
      <w:r>
        <w:rPr>
          <w:noProof/>
        </w:rPr>
        <w:t xml:space="preserve"> οι πληρωμές στο πλαίσιο των παρεμβάσεων και των μέτρων που αναφέρονται στο άρθρο 63 παράγραφος 2 να πραγματοποιούνται από την 1η Δεκεμβρίου έως τις 30 Ιουνίου του επόμενου ημερολογιακού έτους.</w:t>
      </w:r>
      <w:bookmarkEnd w:id="51"/>
    </w:p>
    <w:p w:rsidR="00A57BFD" w:rsidRDefault="005B0D19">
      <w:pPr>
        <w:pStyle w:val="Text1"/>
        <w:rPr>
          <w:noProof/>
        </w:rPr>
      </w:pPr>
      <w:bookmarkStart w:id="52" w:name="v5g21d21w"/>
      <w:bookmarkStart w:id="53" w:name="ai5j2n75p1q3"/>
      <w:bookmarkStart w:id="54" w:name="v5g21i21w"/>
      <w:bookmarkEnd w:id="52"/>
      <w:r>
        <w:rPr>
          <w:noProof/>
        </w:rPr>
        <w:t>Κατά παρέκκλιση του πρώτου εδαφίου, τα κράτη μέλη δύνανται:</w:t>
      </w:r>
    </w:p>
    <w:p w:rsidR="00A57BFD" w:rsidRDefault="005B0D19">
      <w:pPr>
        <w:pStyle w:val="Point10"/>
        <w:rPr>
          <w:noProof/>
        </w:rPr>
      </w:pPr>
      <w:bookmarkStart w:id="55" w:name="ai5j2n75p1q3ra1"/>
      <w:bookmarkStart w:id="56" w:name="ai5j2n75p1q3ra1q1"/>
      <w:r>
        <w:rPr>
          <w:noProof/>
        </w:rPr>
        <w:t>α)</w:t>
      </w:r>
      <w:r>
        <w:rPr>
          <w:noProof/>
        </w:rPr>
        <w:tab/>
        <w:t>πριν την 1η Δεκεμβρίου, αλλά όχι πριν από τις 16 Οκτωβρίου, να καταβάλλουν προκαταβολές έως 50 % όσον αφορά τις παρεμβάσεις υπό μορφή άμεσων ενισχύσεων·</w:t>
      </w:r>
      <w:bookmarkEnd w:id="55"/>
      <w:bookmarkEnd w:id="56"/>
    </w:p>
    <w:p w:rsidR="00A57BFD" w:rsidRDefault="005B0D19">
      <w:pPr>
        <w:pStyle w:val="Point10"/>
        <w:rPr>
          <w:noProof/>
        </w:rPr>
      </w:pPr>
      <w:bookmarkStart w:id="57" w:name="ai5j2n75p1q3ra2"/>
      <w:bookmarkStart w:id="58" w:name="ai5j2n75p1q3ra2q1"/>
      <w:r>
        <w:rPr>
          <w:noProof/>
        </w:rPr>
        <w:t>β)</w:t>
      </w:r>
      <w:r>
        <w:rPr>
          <w:noProof/>
        </w:rPr>
        <w:tab/>
        <w:t>πριν από την 1η Δεκεμβρίου, να καταβάλλουν προκαταβολές έως 75 % όσον αφορά τη στήριξη που χορηγείται στο πλαίσιο παρεμβάσεων αγροτικής ανάπτυξης όπως αναφέρονται στο άρθρο</w:t>
      </w:r>
      <w:bookmarkEnd w:id="53"/>
      <w:bookmarkEnd w:id="54"/>
      <w:bookmarkEnd w:id="57"/>
      <w:bookmarkEnd w:id="58"/>
      <w:r>
        <w:rPr>
          <w:noProof/>
        </w:rPr>
        <w:t> 63 παράγραφος 2.</w:t>
      </w:r>
    </w:p>
    <w:p w:rsidR="00A57BFD" w:rsidRDefault="005B0D19">
      <w:pPr>
        <w:pStyle w:val="ManualNumPar1"/>
        <w:rPr>
          <w:noProof/>
        </w:rPr>
      </w:pPr>
      <w:bookmarkStart w:id="59" w:name="v5g22d22w"/>
      <w:bookmarkStart w:id="60" w:name="ai5j2n75p3q1"/>
      <w:bookmarkStart w:id="61" w:name="ai5j2n75p3"/>
      <w:bookmarkEnd w:id="50"/>
      <w:bookmarkEnd w:id="59"/>
      <w:r>
        <w:t>3.</w:t>
      </w:r>
      <w:r>
        <w:tab/>
      </w:r>
      <w:r>
        <w:rPr>
          <w:noProof/>
        </w:rPr>
        <w:t xml:space="preserve">Τα κράτη μέλη δύνανται να αποφασίζουν να καταβάλλουν προκαταβολές έως 50 % στο πλαίσιο των παρεμβάσεων που αναφέρονται στα άρθρα 68 και 71 του κανονισμού (ΕΕ) αριθ. …/… [κανονισμού για το στρατηγικό σχέδιο της ΚΓΠ]. </w:t>
      </w:r>
    </w:p>
    <w:p w:rsidR="00A57BFD" w:rsidRDefault="005B0D19">
      <w:pPr>
        <w:pStyle w:val="ManualNumPar1"/>
        <w:rPr>
          <w:noProof/>
        </w:rPr>
      </w:pPr>
      <w:r>
        <w:t>4.</w:t>
      </w:r>
      <w:r>
        <w:tab/>
      </w:r>
      <w:r>
        <w:rPr>
          <w:noProof/>
        </w:rPr>
        <w:t xml:space="preserve">Η Επιτροπή εξουσιοδοτείται να εκδίδει κατ’ εξουσιοδότηση πράξεις σύμφωνα με το άρθρο 100 με σκοπό τη συμπλήρωση του παρόντος κανονισμού με κανόνες σχετικά με τις παρεμβάσεις ή τα μέτρα για τα οποία τα κράτη μέλη μπορούν να καταβάλλουν προκαταβολές. </w:t>
      </w:r>
    </w:p>
    <w:p w:rsidR="00A57BFD" w:rsidRDefault="005B0D19">
      <w:pPr>
        <w:pStyle w:val="ManualNumPar1"/>
        <w:rPr>
          <w:noProof/>
        </w:rPr>
      </w:pPr>
      <w:r>
        <w:lastRenderedPageBreak/>
        <w:t>5.</w:t>
      </w:r>
      <w:r>
        <w:tab/>
      </w:r>
      <w:r>
        <w:rPr>
          <w:noProof/>
        </w:rPr>
        <w:t>Σε περιπτώσεις έκτακτης ανάγκης, η Επιτροπή δύναται να εκδίδει εκτελεστικές πράξεις για την επίλυση ειδικών προβλημάτων που αφορούν την εφαρμογή του παρόντος άρθρου. Οι εν λόγω εκτελεστικές πράξεις μπορεί να παρεκκλίνουν από την παράγραφο 2, αλλά μόνο στον βαθμό και για το χρονικό διάστημα που είναι απολύτως αναγκαίο.</w:t>
      </w:r>
      <w:bookmarkEnd w:id="60"/>
    </w:p>
    <w:p w:rsidR="00A57BFD" w:rsidRDefault="005B0D19">
      <w:pPr>
        <w:pStyle w:val="Text1"/>
        <w:rPr>
          <w:noProof/>
        </w:rPr>
      </w:pPr>
      <w:bookmarkStart w:id="62" w:name="ai5j2n75p3q2"/>
      <w:r>
        <w:rPr>
          <w:noProof/>
        </w:rPr>
        <w:t>Οι εν λόγω εκτελεστικές πράξεις εκδίδονται σύμφωνα με τη διαδικασία εξέτασης που προβλέπεται στο άρθρο</w:t>
      </w:r>
      <w:bookmarkEnd w:id="61"/>
      <w:bookmarkEnd w:id="62"/>
      <w:r>
        <w:rPr>
          <w:noProof/>
        </w:rPr>
        <w:t> 101 παράγραφος 3.</w:t>
      </w:r>
    </w:p>
    <w:p w:rsidR="00A57BFD" w:rsidRDefault="005B0D19">
      <w:pPr>
        <w:pStyle w:val="Titrearticle1"/>
        <w:rPr>
          <w:b/>
          <w:noProof/>
        </w:rPr>
      </w:pPr>
      <w:r>
        <w:rPr>
          <w:noProof/>
        </w:rPr>
        <w:t>Άρθρο 43</w:t>
      </w:r>
      <w:r>
        <w:rPr>
          <w:noProof/>
        </w:rPr>
        <w:br/>
      </w:r>
      <w:r>
        <w:rPr>
          <w:b/>
          <w:noProof/>
        </w:rPr>
        <w:t>Διάθεση των εσόδων</w:t>
      </w:r>
    </w:p>
    <w:p w:rsidR="00A57BFD" w:rsidRDefault="005B0D19">
      <w:pPr>
        <w:pStyle w:val="ManualNumPar1"/>
        <w:rPr>
          <w:noProof/>
        </w:rPr>
      </w:pPr>
      <w:r>
        <w:t>1.</w:t>
      </w:r>
      <w:r>
        <w:tab/>
      </w:r>
      <w:r>
        <w:rPr>
          <w:noProof/>
        </w:rPr>
        <w:t>Θεωρούνται «έσοδα για ειδικό προορισμό» κατά την έννοια του άρθρου 21 του δημοσιονομικού κανονισμού:</w:t>
      </w:r>
    </w:p>
    <w:p w:rsidR="00A57BFD" w:rsidRDefault="005B0D19">
      <w:pPr>
        <w:pStyle w:val="Point10"/>
        <w:rPr>
          <w:noProof/>
        </w:rPr>
      </w:pPr>
      <w:r>
        <w:rPr>
          <w:noProof/>
        </w:rPr>
        <w:t>α)</w:t>
      </w:r>
      <w:r>
        <w:rPr>
          <w:noProof/>
        </w:rPr>
        <w:tab/>
        <w:t>όσον αφορά τις δαπάνες στο πλαίσιο τόσο του ΕΓΤΕ όσο και του ΕΓΤΑΑ, τα ποσά βάσει των άρθρων 36, 52 και 53 του παρόντος κανονισμού και του άρθρου 54 του κανονισμού (ΕΕ) αριθ. 1306/2013 όπως εφαρμόζεται σύμφωνα με το άρθρο 102 του παρόντος κανονισμού και, όσον αφορά τις δαπάνες στο πλαίσιο του ΕΓΤΕ, τα ποσά που προβλέπονται στο άρθρο 54 και το άρθρο 51 του παρόντος κανονισμού, τα οποία πρέπει να καταβάλλονται στον προϋπολογισμό της Ένωσης, συμπεριλαμβανομένων των τόκων·</w:t>
      </w:r>
    </w:p>
    <w:p w:rsidR="00A57BFD" w:rsidRDefault="005B0D19">
      <w:pPr>
        <w:pStyle w:val="Point10"/>
        <w:rPr>
          <w:noProof/>
        </w:rPr>
      </w:pPr>
      <w:r>
        <w:rPr>
          <w:noProof/>
        </w:rPr>
        <w:t>β)</w:t>
      </w:r>
      <w:r>
        <w:rPr>
          <w:noProof/>
        </w:rPr>
        <w:tab/>
        <w:t>τα ποσά που αντιστοιχούν στις κυρώσεις που επιβάλλονται σύμφωνα με τους κανόνες σχετικά με τις προϋποθέσεις που αναφέρονται στο άρθρο 11 του κανονισμού (ΕΕ) …/… [κανονισμός για το στρατηγικό σχέδιο της ΚΓΠ], όσον αφορά τις δαπάνες στο πλαίσιο του ΕΓΤΕ·</w:t>
      </w:r>
    </w:p>
    <w:p w:rsidR="00A57BFD" w:rsidRDefault="005B0D19">
      <w:pPr>
        <w:pStyle w:val="Point10"/>
        <w:rPr>
          <w:noProof/>
        </w:rPr>
      </w:pPr>
      <w:r>
        <w:rPr>
          <w:noProof/>
        </w:rPr>
        <w:t>γ)</w:t>
      </w:r>
      <w:r>
        <w:rPr>
          <w:noProof/>
        </w:rPr>
        <w:tab/>
        <w:t>εγγυήσεις, χρηματικές καταθέσεις ή εγγυήσεις παρεχόμενες δυνάμει ενωσιακής νομοθεσίας που θεσπίζεται στο πλαίσιο της ΚΓΠ, εκτός των παρεμβάσεων αγροτικής ανάπτυξης, οι οποίες καταπίπτουν. Ωστόσο, οι καταπίπτουσες εγγυήσεις που έχουν συσταθεί κατά την έκδοση πιστοποιητικού εισαγωγής ή εξαγωγής ή στο πλαίσιο διαγωνισμού με μόνο στόχο την εξασφάλιση της υποβολής σοβαρών προσφορών από τους διαγωνιζόμενους, παρακρατούνται από τα κράτη μέλη·</w:t>
      </w:r>
    </w:p>
    <w:p w:rsidR="00A57BFD" w:rsidRDefault="005B0D19">
      <w:pPr>
        <w:pStyle w:val="Point10"/>
        <w:rPr>
          <w:noProof/>
        </w:rPr>
      </w:pPr>
      <w:r>
        <w:rPr>
          <w:noProof/>
        </w:rPr>
        <w:t>δ)</w:t>
      </w:r>
      <w:r>
        <w:rPr>
          <w:noProof/>
        </w:rPr>
        <w:tab/>
        <w:t xml:space="preserve">τα ποσά που μειώνονται οριστικά σύμφωνα με το άρθρο 39 παράγραφος 2· </w:t>
      </w:r>
    </w:p>
    <w:p w:rsidR="00A57BFD" w:rsidRDefault="005B0D19">
      <w:pPr>
        <w:pStyle w:val="ManualNumPar1"/>
        <w:rPr>
          <w:noProof/>
        </w:rPr>
      </w:pPr>
      <w:r>
        <w:t>2.</w:t>
      </w:r>
      <w:r>
        <w:tab/>
      </w:r>
      <w:r>
        <w:rPr>
          <w:noProof/>
        </w:rPr>
        <w:t>Τα ποσά που αναφέρονται στην παράγραφο 1 καταβάλλονται στον προϋπολογισμό της Ένωσης και, σε περίπτωση επαναχρησιμοποίησης, διατίθενται μόνο για τη χρηματοδότηση των δαπανών του ΕΓΤΕ ή του ΕΓΤΑΑ, αντιστοίχως.</w:t>
      </w:r>
    </w:p>
    <w:p w:rsidR="00A57BFD" w:rsidRDefault="005B0D19">
      <w:pPr>
        <w:pStyle w:val="ManualNumPar1"/>
        <w:rPr>
          <w:noProof/>
        </w:rPr>
      </w:pPr>
      <w:r>
        <w:t>3.</w:t>
      </w:r>
      <w:r>
        <w:tab/>
      </w:r>
      <w:r>
        <w:rPr>
          <w:noProof/>
        </w:rPr>
        <w:t>Ο παρών κανονισμός εφαρμόζεται, τηρουμένων των αναλογιών, στα έσοδα ειδικού προορισμού που αναφέρονται στην παράγραφο 1.</w:t>
      </w:r>
    </w:p>
    <w:p w:rsidR="00A57BFD" w:rsidRDefault="005B0D19">
      <w:pPr>
        <w:pStyle w:val="ManualNumPar1"/>
        <w:rPr>
          <w:noProof/>
        </w:rPr>
      </w:pPr>
      <w:r>
        <w:t>4.</w:t>
      </w:r>
      <w:r>
        <w:tab/>
      </w:r>
      <w:r>
        <w:rPr>
          <w:noProof/>
        </w:rPr>
        <w:t>Όσον αφορά το ΕΓΤΕ, το άρθρο 113 του δημοσιονομικού κανονισμού εφαρμόζεται, τηρουμένων των αναλογιών, για τη λογιστική εγγραφή των εσόδων ειδικού προορισμού που αναφέρονται στον παρόντα κανονισμό.</w:t>
      </w:r>
    </w:p>
    <w:p w:rsidR="00A57BFD" w:rsidRDefault="005B0D19">
      <w:pPr>
        <w:pStyle w:val="Titrearticle1"/>
        <w:rPr>
          <w:b/>
          <w:noProof/>
        </w:rPr>
      </w:pPr>
      <w:r>
        <w:rPr>
          <w:noProof/>
        </w:rPr>
        <w:t>Άρθρο 44</w:t>
      </w:r>
      <w:r>
        <w:rPr>
          <w:noProof/>
        </w:rPr>
        <w:br/>
      </w:r>
      <w:r>
        <w:rPr>
          <w:b/>
          <w:noProof/>
        </w:rPr>
        <w:t>Μέτρα ενημέρωσης</w:t>
      </w:r>
    </w:p>
    <w:p w:rsidR="00A57BFD" w:rsidRDefault="005B0D19">
      <w:pPr>
        <w:pStyle w:val="ManualNumPar1"/>
        <w:rPr>
          <w:noProof/>
        </w:rPr>
      </w:pPr>
      <w:r>
        <w:t>1.</w:t>
      </w:r>
      <w:r>
        <w:tab/>
      </w:r>
      <w:r>
        <w:rPr>
          <w:noProof/>
        </w:rPr>
        <w:t xml:space="preserve">Η παροχή πληροφοριών που χρηματοδοτείται σύμφωνα με το άρθρο 7 στοιχείο ε) έχει ως στόχο ιδίως την επεξήγηση, την εφαρμογή και την ανάπτυξη της ΚΓΠ, την ευαισθητοποίηση του κοινού για το περιεχόμενο και τους στόχους της πολιτικής αυτής, την αποκατάσταση της εμπιστοσύνης των καταναλωτών έπειτα από κρίσεις </w:t>
      </w:r>
      <w:r>
        <w:rPr>
          <w:noProof/>
        </w:rPr>
        <w:lastRenderedPageBreak/>
        <w:t>μέσω εκστρατειών ενημέρωσης, την ενημέρωση των γεωργών και λοιπών ενδιαφερομένων που δραστηριοποιούνται στις αγροτικές περιοχές και την προώθηση του ευρωπαϊκού γεωργικού μοντέλου, καθώς και την κατανόησή του από τους πολίτες.</w:t>
      </w:r>
    </w:p>
    <w:p w:rsidR="00A57BFD" w:rsidRDefault="005B0D19">
      <w:pPr>
        <w:pStyle w:val="Text1"/>
        <w:rPr>
          <w:noProof/>
        </w:rPr>
      </w:pPr>
      <w:r>
        <w:rPr>
          <w:noProof/>
        </w:rPr>
        <w:t>Στόχος είναι η συνεπής, αντικειμενική και σφαιρική ενημέρωση εντός και εκτός Ένωσης.</w:t>
      </w:r>
    </w:p>
    <w:p w:rsidR="00A57BFD" w:rsidRDefault="005B0D19">
      <w:pPr>
        <w:pStyle w:val="ManualNumPar1"/>
        <w:rPr>
          <w:noProof/>
        </w:rPr>
      </w:pPr>
      <w:r>
        <w:t>2.</w:t>
      </w:r>
      <w:r>
        <w:tab/>
      </w:r>
      <w:r>
        <w:rPr>
          <w:noProof/>
        </w:rPr>
        <w:t>Τα μέτρα που αναφέρονται στην παράγραφο 1 μπορεί να αποτελούνται από:</w:t>
      </w:r>
    </w:p>
    <w:p w:rsidR="00A57BFD" w:rsidRDefault="005B0D19">
      <w:pPr>
        <w:pStyle w:val="Point10"/>
        <w:rPr>
          <w:noProof/>
        </w:rPr>
      </w:pPr>
      <w:r>
        <w:rPr>
          <w:noProof/>
        </w:rPr>
        <w:t>α)</w:t>
      </w:r>
      <w:r>
        <w:rPr>
          <w:noProof/>
        </w:rPr>
        <w:tab/>
        <w:t>ετήσια προγράμματα εργασίας ή αλλά ειδικά μέτρα που υποβάλλονται από τρίτους·</w:t>
      </w:r>
    </w:p>
    <w:p w:rsidR="00A57BFD" w:rsidRDefault="005B0D19">
      <w:pPr>
        <w:pStyle w:val="Point10"/>
        <w:rPr>
          <w:noProof/>
        </w:rPr>
      </w:pPr>
      <w:r>
        <w:rPr>
          <w:noProof/>
        </w:rPr>
        <w:t>β)</w:t>
      </w:r>
      <w:r>
        <w:rPr>
          <w:noProof/>
        </w:rPr>
        <w:tab/>
        <w:t>δραστηριότητες που εκτελούνται με πρωτοβουλία της Επιτροπής.</w:t>
      </w:r>
    </w:p>
    <w:p w:rsidR="00A57BFD" w:rsidRDefault="005B0D19">
      <w:pPr>
        <w:pStyle w:val="Text1"/>
        <w:rPr>
          <w:noProof/>
        </w:rPr>
      </w:pPr>
      <w:r>
        <w:rPr>
          <w:noProof/>
        </w:rPr>
        <w:t>Αποκλείονται τα μέτρα τα οποία απαιτούνται από τη νομοθεσία ή τα μέτρα για τα οποία λαμβάνεται ήδη χρηματοδότηση στο πλαίσιο άλλης δράσης της Ένωσης.</w:t>
      </w:r>
    </w:p>
    <w:p w:rsidR="00A57BFD" w:rsidRDefault="005B0D19">
      <w:pPr>
        <w:pStyle w:val="Text1"/>
        <w:rPr>
          <w:noProof/>
        </w:rPr>
      </w:pPr>
      <w:r>
        <w:rPr>
          <w:noProof/>
        </w:rPr>
        <w:t>Για την εφαρμογή των δραστηριοτήτων που αναφέρονται στο στοιχείο β) του πρώτου εδαφίου, η Επιτροπή μπορεί να επικουρείται από εξωτερικούς εμπειρογνώμονες.</w:t>
      </w:r>
    </w:p>
    <w:p w:rsidR="00A57BFD" w:rsidRDefault="005B0D19">
      <w:pPr>
        <w:pStyle w:val="Text1"/>
        <w:rPr>
          <w:noProof/>
        </w:rPr>
      </w:pPr>
      <w:r>
        <w:rPr>
          <w:noProof/>
        </w:rPr>
        <w:t>Τα μέτρα που αναφέρονται στο πρώτο εδάφιο συμβάλλουν επίσης στην κάλυψη της εταιρικής επικοινωνίας των πολιτικών προτεραιοτήτων της Ένωσης στον βαθμό που αυτές συνδέονται με τους γενικούς στόχους του παρόντος κανονισμού.</w:t>
      </w:r>
    </w:p>
    <w:p w:rsidR="00A57BFD" w:rsidRDefault="005B0D19">
      <w:pPr>
        <w:pStyle w:val="ManualNumPar1"/>
        <w:rPr>
          <w:noProof/>
        </w:rPr>
      </w:pPr>
      <w:r>
        <w:t>3.</w:t>
      </w:r>
      <w:r>
        <w:tab/>
      </w:r>
      <w:r>
        <w:rPr>
          <w:noProof/>
        </w:rPr>
        <w:t>Η Επιτροπή δημοσιεύει άπαξ ετησίως πρόσκληση υποβολής προτάσεων που πληροί τους όρους του δημοσιονομικού κανονισμού.</w:t>
      </w:r>
    </w:p>
    <w:p w:rsidR="00A57BFD" w:rsidRDefault="005B0D19">
      <w:pPr>
        <w:pStyle w:val="ManualNumPar1"/>
        <w:rPr>
          <w:noProof/>
        </w:rPr>
      </w:pPr>
      <w:r>
        <w:t>4.</w:t>
      </w:r>
      <w:r>
        <w:tab/>
      </w:r>
      <w:r>
        <w:rPr>
          <w:noProof/>
        </w:rPr>
        <w:t>Τα μέτρα που προβλέπονται και λαμβάνονται δυνάμει του παρόντος άρθρου κοινοποιούνται στην επιτροπή που αναφέρεται στο άρθρο 101 παράγραφος 1.</w:t>
      </w:r>
    </w:p>
    <w:p w:rsidR="00A57BFD" w:rsidRDefault="005B0D19">
      <w:pPr>
        <w:pStyle w:val="ManualNumPar1"/>
        <w:rPr>
          <w:noProof/>
        </w:rPr>
      </w:pPr>
      <w:r>
        <w:t>5.</w:t>
      </w:r>
      <w:r>
        <w:tab/>
      </w:r>
      <w:r>
        <w:rPr>
          <w:noProof/>
        </w:rPr>
        <w:t>Η Επιτροπή υποβάλλει ανά διετία στο Ευρωπαϊκό Κοινοβούλιο και το Συμβούλιο έκθεση για την εφαρμογή του παρόντος άρθρου.</w:t>
      </w:r>
    </w:p>
    <w:p w:rsidR="00A57BFD" w:rsidRDefault="005B0D19">
      <w:pPr>
        <w:pStyle w:val="Titrearticle1"/>
        <w:rPr>
          <w:b/>
          <w:noProof/>
        </w:rPr>
      </w:pPr>
      <w:r>
        <w:rPr>
          <w:noProof/>
        </w:rPr>
        <w:t>Άρθρο 45</w:t>
      </w:r>
      <w:r>
        <w:rPr>
          <w:noProof/>
        </w:rPr>
        <w:br/>
      </w:r>
      <w:r>
        <w:rPr>
          <w:b/>
          <w:noProof/>
        </w:rPr>
        <w:t>Αρμοδιότητες της Επιτροπής</w:t>
      </w:r>
    </w:p>
    <w:p w:rsidR="00A57BFD" w:rsidRDefault="005B0D19">
      <w:pPr>
        <w:pStyle w:val="ManualNumPar1"/>
        <w:rPr>
          <w:noProof/>
        </w:rPr>
      </w:pPr>
      <w:r>
        <w:t>1.</w:t>
      </w:r>
      <w:r>
        <w:tab/>
      </w:r>
      <w:r>
        <w:rPr>
          <w:noProof/>
        </w:rPr>
        <w:t>Η Επιτροπή εξουσιοδοτείται να εκδίδει κατ’ εξουσιοδότηση πράξεις σύμφωνα με το άρθρο 100, προκειμένου να συμπληρώσει τον παρόντα κανονισμό σχετικά με τους όρους υπό τους οποίους αντισταθμίζονται ορισμένες κατηγορίες δαπανών και εσόδων στο πλαίσιο των ταμείων.</w:t>
      </w:r>
    </w:p>
    <w:p w:rsidR="00A57BFD" w:rsidRDefault="005B0D19">
      <w:pPr>
        <w:pStyle w:val="Text1"/>
        <w:rPr>
          <w:noProof/>
        </w:rPr>
      </w:pPr>
      <w:r>
        <w:rPr>
          <w:noProof/>
        </w:rPr>
        <w:t>Εάν ο ενωσιακός προϋπολογισμός δεν έχει εγκριθεί έως την έναρξη του οικονομικού έτους ή εάν το συνολικό ποσό των προγραμματισμένων δεσμεύσεων υπερβαίνει το κατώτατο όριο που ορίζεται στο άρθρο 11 παράγραφος 2 του δημοσιονομικού κανονισμού, ανατίθεται στην Επιτροπή η εξουσία να εκδίδει κατ’ εξουσιοδότηση πράξεις σύμφωνα με το άρθρο 100 με σκοπό τη συμπλήρωση του παρόντος κανονισμού με κανόνες σχετικά με τη μέθοδο που εφαρμόζεται στις δεσμεύσεις και στην πληρωμή των ποσών.</w:t>
      </w:r>
    </w:p>
    <w:p w:rsidR="00A57BFD" w:rsidRDefault="005B0D19">
      <w:pPr>
        <w:pStyle w:val="ManualNumPar1"/>
        <w:rPr>
          <w:noProof/>
        </w:rPr>
      </w:pPr>
      <w:r>
        <w:t>2.</w:t>
      </w:r>
      <w:r>
        <w:tab/>
      </w:r>
      <w:r>
        <w:rPr>
          <w:noProof/>
        </w:rPr>
        <w:t>Η Επιτροπή μπορεί να εκδίδει εκτελεστικές πράξεις για τον καθορισμό περαιτέρω κανόνων για την υποχρέωση του άρθρου 41 καθώς και ειδικούς όρους που εφαρμόζονται στα στοιχεία που πρέπει να καταχωρίζονται στους λογαριασμούς των οργανισμών πληρωμών. Οι εν λόγω εκτελεστικές πράξεις εκδίδονται σύμφωνα με τη διαδικασία εξέτασης που προβλέπεται στο άρθρο 101 παράγραφος 3.</w:t>
      </w:r>
    </w:p>
    <w:p w:rsidR="00A57BFD" w:rsidRDefault="005B0D19">
      <w:pPr>
        <w:pStyle w:val="ManualNumPar1"/>
        <w:rPr>
          <w:noProof/>
        </w:rPr>
      </w:pPr>
      <w:r>
        <w:lastRenderedPageBreak/>
        <w:t>3.</w:t>
      </w:r>
      <w:r>
        <w:tab/>
      </w:r>
      <w:r>
        <w:rPr>
          <w:noProof/>
        </w:rPr>
        <w:t>Η Επιτροπή μπορεί να εκδίδει εκτελεστικές πράξεις για τον καθορισμό κανόνων όσον αφορά:</w:t>
      </w:r>
    </w:p>
    <w:p w:rsidR="00A57BFD" w:rsidRDefault="005B0D19">
      <w:pPr>
        <w:pStyle w:val="Point10"/>
        <w:rPr>
          <w:noProof/>
        </w:rPr>
      </w:pPr>
      <w:r>
        <w:rPr>
          <w:noProof/>
        </w:rPr>
        <w:t>α)</w:t>
      </w:r>
      <w:r>
        <w:rPr>
          <w:noProof/>
        </w:rPr>
        <w:tab/>
        <w:t>τη χρηματοδότηση και το λογιστικό πλαίσιο των μέτρων παρέμβασης υπό μορφή δημόσιας αποθεματοποίησης και τις λοιπές δαπάνες που χρηματοδοτούνται από τα ταμεία·</w:t>
      </w:r>
    </w:p>
    <w:p w:rsidR="00A57BFD" w:rsidRDefault="005B0D19">
      <w:pPr>
        <w:pStyle w:val="Point10"/>
        <w:rPr>
          <w:noProof/>
        </w:rPr>
      </w:pPr>
      <w:r>
        <w:rPr>
          <w:noProof/>
        </w:rPr>
        <w:t>β)</w:t>
      </w:r>
      <w:r>
        <w:rPr>
          <w:noProof/>
        </w:rPr>
        <w:tab/>
        <w:t>τους όρους και προϋποθέσεις εκτέλεσης της διαδικασίας αυτόματης αποδέσμευσης.</w:t>
      </w:r>
    </w:p>
    <w:p w:rsidR="00A57BFD" w:rsidRDefault="005B0D19">
      <w:pPr>
        <w:pStyle w:val="Text1"/>
        <w:rPr>
          <w:noProof/>
        </w:rPr>
      </w:pPr>
      <w:r>
        <w:rPr>
          <w:noProof/>
        </w:rPr>
        <w:t>Οι εν λόγω εκτελεστικές πράξεις εκδίδονται σύμφωνα με τη διαδικασία εξέτασης που προβλέπεται στο άρθρο 101 παράγραφος 3.</w:t>
      </w:r>
    </w:p>
    <w:p w:rsidR="00A57BFD" w:rsidRDefault="005B0D19">
      <w:pPr>
        <w:pStyle w:val="ChapterTitle0"/>
        <w:rPr>
          <w:noProof/>
        </w:rPr>
      </w:pPr>
      <w:r>
        <w:rPr>
          <w:noProof/>
        </w:rPr>
        <w:t>Κεφάλαιο IV</w:t>
      </w:r>
      <w:r>
        <w:rPr>
          <w:noProof/>
        </w:rPr>
        <w:br/>
        <w:t>Εκκαθάριση λογαριασμών</w:t>
      </w:r>
    </w:p>
    <w:p w:rsidR="00A57BFD" w:rsidRDefault="005B0D19">
      <w:pPr>
        <w:pStyle w:val="SectionTitle"/>
        <w:rPr>
          <w:noProof/>
        </w:rPr>
      </w:pPr>
      <w:r>
        <w:rPr>
          <w:noProof/>
        </w:rPr>
        <w:t>Τμήμα 1</w:t>
      </w:r>
      <w:r>
        <w:rPr>
          <w:noProof/>
        </w:rPr>
        <w:br/>
        <w:t>Γενικές διατάξεις</w:t>
      </w:r>
    </w:p>
    <w:p w:rsidR="00A57BFD" w:rsidRDefault="005B0D19">
      <w:pPr>
        <w:pStyle w:val="Titrearticle1"/>
        <w:rPr>
          <w:b/>
          <w:noProof/>
        </w:rPr>
      </w:pPr>
      <w:r>
        <w:rPr>
          <w:noProof/>
        </w:rPr>
        <w:t>Άρθρο 46</w:t>
      </w:r>
      <w:r>
        <w:rPr>
          <w:noProof/>
        </w:rPr>
        <w:br/>
      </w:r>
      <w:r>
        <w:rPr>
          <w:b/>
          <w:noProof/>
        </w:rPr>
        <w:t>Προσέγγιση ενιαίου ελέγχου</w:t>
      </w:r>
    </w:p>
    <w:p w:rsidR="00A57BFD" w:rsidRDefault="005B0D19">
      <w:pPr>
        <w:rPr>
          <w:noProof/>
          <w:szCs w:val="24"/>
        </w:rPr>
      </w:pPr>
      <w:r>
        <w:rPr>
          <w:noProof/>
        </w:rPr>
        <w:t>Για τους σκοπούς του άρθρου 127 του δημοσιονομικού κανονισμού, η Επιτροπή</w:t>
      </w:r>
      <w:r>
        <w:rPr>
          <w:i/>
          <w:noProof/>
        </w:rPr>
        <w:t xml:space="preserve"> </w:t>
      </w:r>
      <w:r>
        <w:rPr>
          <w:noProof/>
        </w:rPr>
        <w:t xml:space="preserve">αποκομίζει βεβαιότητα για την αξιοπιστία τους από τις εργασίες των οργανισμών πιστοποίησης που αναφέρονται στο άρθρο 11 του παρόντος κανονισμού, εκτός εάν έχει ενημερώσει το κράτος μέλος ότι δεν μπορεί να βασιστεί στις εργασίες του οργανισμού πιστοποίησης για ένα δεδομένο οικονομικό έτος, και λαμβάνει αυτό υπόψη στην εκτίμηση κινδύνου της για την ανάγκη διενέργειας ελέγχων από την Επιτροπή στο οικείο κράτος μέλος.  </w:t>
      </w:r>
    </w:p>
    <w:p w:rsidR="00A57BFD" w:rsidRDefault="005B0D19">
      <w:pPr>
        <w:pStyle w:val="Titrearticle1"/>
        <w:rPr>
          <w:b/>
          <w:noProof/>
        </w:rPr>
      </w:pPr>
      <w:r>
        <w:rPr>
          <w:noProof/>
        </w:rPr>
        <w:t>Άρθρο 47</w:t>
      </w:r>
      <w:r>
        <w:rPr>
          <w:noProof/>
        </w:rPr>
        <w:br/>
      </w:r>
      <w:r>
        <w:rPr>
          <w:b/>
          <w:noProof/>
        </w:rPr>
        <w:t>Έλεγχοι από την Επιτροπή</w:t>
      </w:r>
    </w:p>
    <w:p w:rsidR="00A57BFD" w:rsidRDefault="005B0D19">
      <w:pPr>
        <w:pStyle w:val="ManualNumPar1"/>
        <w:rPr>
          <w:noProof/>
        </w:rPr>
      </w:pPr>
      <w:r>
        <w:t>1.</w:t>
      </w:r>
      <w:r>
        <w:tab/>
      </w:r>
      <w:r>
        <w:rPr>
          <w:noProof/>
        </w:rPr>
        <w:t>Με την επιφύλαξη των ελέγχων που διενεργούν τα κράτη μέλη σύμφωνα με τις εθνικές νομοθετικές, κανονιστικές και διοικητικές διατάξεις ή με το άρθρο 287 της Συνθήκης, ή κάθε ελέγχου που οργανώνεται σύμφωνα με το άρθρο 322 της Συνθήκης ή βάσει του κανονισμού (Ευρατόμ, ΕΚ) αριθ. 2185/96 του Συμβουλίου, η Επιτροπή δύναται να οργανώνει ελέγχους στα κράτη μέλη με σκοπό να εξακριβώνει κυρίως:</w:t>
      </w:r>
    </w:p>
    <w:p w:rsidR="00A57BFD" w:rsidRDefault="005B0D19">
      <w:pPr>
        <w:pStyle w:val="Point10"/>
        <w:rPr>
          <w:noProof/>
        </w:rPr>
      </w:pPr>
      <w:bookmarkStart w:id="63" w:name="ai4j4k1n47p1q1ra1"/>
      <w:bookmarkStart w:id="64" w:name="ai4j4k1n47p1q1ra1q1"/>
      <w:r>
        <w:rPr>
          <w:noProof/>
        </w:rPr>
        <w:t>α)</w:t>
      </w:r>
      <w:r>
        <w:rPr>
          <w:noProof/>
        </w:rPr>
        <w:tab/>
        <w:t>τη συμμόρφωση των διοικητικών πρακτικών προς τους ενωσιακούς κανόνες·</w:t>
      </w:r>
      <w:bookmarkEnd w:id="63"/>
      <w:bookmarkEnd w:id="64"/>
    </w:p>
    <w:p w:rsidR="00A57BFD" w:rsidRDefault="005B0D19">
      <w:pPr>
        <w:pStyle w:val="Point10"/>
        <w:rPr>
          <w:noProof/>
        </w:rPr>
      </w:pPr>
      <w:r>
        <w:rPr>
          <w:noProof/>
        </w:rPr>
        <w:t>β)</w:t>
      </w:r>
      <w:r>
        <w:rPr>
          <w:noProof/>
        </w:rPr>
        <w:tab/>
        <w:t>εάν οι δαπάνες που εμπίπτουν στο πεδίο εφαρμογής του άρθρου 5 παράγραφος 2 και του άρθρου 6 και αντιστοιχούν στις παρεμβάσεις που αναφέρονται στον κανονισμό (ΕΕ) …/…[κανονισμό για το στρατηγικό σχέδιο της ΚΓΠ] έχουν αντίστοιχη εκροή, όπως αναφέρεται στην ετήσια έκθεση επιδόσεων·</w:t>
      </w:r>
    </w:p>
    <w:p w:rsidR="00A57BFD" w:rsidRDefault="005B0D19">
      <w:pPr>
        <w:pStyle w:val="Point10"/>
        <w:rPr>
          <w:noProof/>
        </w:rPr>
      </w:pPr>
      <w:r>
        <w:rPr>
          <w:noProof/>
        </w:rPr>
        <w:t>γ)</w:t>
      </w:r>
      <w:r>
        <w:rPr>
          <w:noProof/>
        </w:rPr>
        <w:tab/>
        <w:t>εάν το έργο του οργανισμού πιστοποίησης διεξάγεται σύμφωνα με το άρθρο 11 και για τους σκοπούς του τμήματος 2 του παρόντος κεφαλαίου·</w:t>
      </w:r>
    </w:p>
    <w:p w:rsidR="00A57BFD" w:rsidRDefault="005B0D19">
      <w:pPr>
        <w:pStyle w:val="Point10"/>
        <w:rPr>
          <w:noProof/>
        </w:rPr>
      </w:pPr>
      <w:bookmarkStart w:id="65" w:name="ai4j4k1n47p1q1ra4"/>
      <w:bookmarkStart w:id="66" w:name="ai4j4k1n47p1q1ra4q1"/>
      <w:r>
        <w:rPr>
          <w:noProof/>
        </w:rPr>
        <w:t>δ)</w:t>
      </w:r>
      <w:r>
        <w:rPr>
          <w:noProof/>
        </w:rPr>
        <w:tab/>
        <w:t>αν ένας οργανισμός πληρωμών συμμορφώνεται με τα κριτήρια διαπίστευσης που ορίζονται στο άρθρο 8 παράγραφος 2 και αν το κράτος μέλος εφαρμόζει σωστά το άρθρο</w:t>
      </w:r>
      <w:bookmarkEnd w:id="65"/>
      <w:bookmarkEnd w:id="66"/>
      <w:r>
        <w:rPr>
          <w:noProof/>
        </w:rPr>
        <w:t> 8 παράγραφος 5.</w:t>
      </w:r>
    </w:p>
    <w:p w:rsidR="00A57BFD" w:rsidRDefault="005B0D19">
      <w:pPr>
        <w:pStyle w:val="Text1"/>
        <w:rPr>
          <w:noProof/>
        </w:rPr>
      </w:pPr>
      <w:bookmarkStart w:id="67" w:name="ai4j4k1n47p1q2"/>
      <w:r>
        <w:rPr>
          <w:noProof/>
        </w:rPr>
        <w:lastRenderedPageBreak/>
        <w:t>Τα πρόσωπα στα οποία η Επιτροπή αναθέτει τη διενέργεια των ελέγχων εκ μέρους της ή οι υπάλληλοι της Επιτροπής που ενεργούν στο πλαίσιο των αρμοδιοτήτων τους έχουν πρόσβαση στα βιβλία και σε κάθε άλλο έγγραφο σχετικό με τις δαπάνες που χρηματοδοτούνται από το ΕΓΤΕ ή το ΕΓΤΑΑ, συμπεριλαμβανομένων των εγγράφων και των μεταδεδομένων που εγγράφονται σε ηλεκτρονικό μέσο.</w:t>
      </w:r>
      <w:bookmarkEnd w:id="67"/>
    </w:p>
    <w:p w:rsidR="00A57BFD" w:rsidRDefault="005B0D19">
      <w:pPr>
        <w:pStyle w:val="Text1"/>
        <w:rPr>
          <w:rFonts w:eastAsia="Times New Roman"/>
          <w:noProof/>
          <w:szCs w:val="24"/>
        </w:rPr>
      </w:pPr>
      <w:bookmarkStart w:id="68" w:name="ai4j4k1n47p1q3"/>
      <w:r>
        <w:rPr>
          <w:noProof/>
        </w:rPr>
        <w:t>Η εξουσία διενέργειας ελέγχων δεν θίγει την εφαρμογή εθνικών διατάξεων που επιφυλάσσουν ορισμένες ενέργειες σε υπαλλήλους ειδικώς οριζόμενους από την εθνική νομοθεσία. Με την επιφύλαξη των ειδικών διατάξεων του κανονισμού (ΕΕ, Ευρατόμ) αριθ. 883/2013 και του κανονισμού (Ευρατόμ, ΕΚ) αριθ. 2185/96, τα πρόσωπα που είναι εξουσιοδοτημένα από την Επιτροπή να ενεργούν για λογαριασμό της δεν συμμετέχουν, μεταξύ άλλων, σε κατ’ οίκον επισκέψεις ή επίσημες ανακρίσεις ατόμων με βάση τη νομοθεσία του σχετικού κράτους μέλους. Ωστόσο, έχουν πρόσβαση στις πληροφορίες που αποκτώνται κατ’ αυτόν τον τρόπο.</w:t>
      </w:r>
      <w:bookmarkEnd w:id="68"/>
    </w:p>
    <w:p w:rsidR="00A57BFD" w:rsidRDefault="005B0D19">
      <w:pPr>
        <w:pStyle w:val="ManualNumPar1"/>
        <w:rPr>
          <w:noProof/>
        </w:rPr>
      </w:pPr>
      <w:bookmarkStart w:id="69" w:name="ai4j4k1n47p2q1"/>
      <w:bookmarkStart w:id="70" w:name="ai4j4k1n47p2"/>
      <w:r>
        <w:t>2.</w:t>
      </w:r>
      <w:r>
        <w:tab/>
      </w:r>
      <w:r>
        <w:rPr>
          <w:noProof/>
        </w:rPr>
        <w:t>Η Επιτροπή ειδοποιεί εγκαίρως, πριν από τον έλεγχο, το σχετικό κράτος μέλος ή το κράτος μέλος στην επικράτεια του οποίου πρόκειται να διενεργηθεί ο έλεγχος, λαμβάνοντας υπόψη τον διοικητικό αντίκτυπο της διοργάνωσης των ελέγχων στους οργανισμούς πληρωμών. Στους ελέγχους αυτούς μπορούν να μετέχουν υπάλληλοι του ενδιαφερόμενου κράτους μέλους.</w:t>
      </w:r>
      <w:bookmarkEnd w:id="69"/>
    </w:p>
    <w:p w:rsidR="00A57BFD" w:rsidRDefault="005B0D19">
      <w:pPr>
        <w:pStyle w:val="Text1"/>
        <w:rPr>
          <w:noProof/>
        </w:rPr>
      </w:pPr>
      <w:bookmarkStart w:id="71" w:name="ai4j4k1n47p2q2"/>
      <w:r>
        <w:rPr>
          <w:noProof/>
        </w:rPr>
        <w:t>Κατόπιν αίτησης της Επιτροπής, και εφόσον συμφωνεί το κράτος μέλος, οι αρμόδιες αρχές του εν λόγω κράτους μέλους διενεργούν συμπληρωματικούς ελέγχους ή έρευνες με αντικείμενο τις πράξεις που υπάγονται στον παρόντα κανονισμό. Στους εν λόγω ελέγχους μπορούν να μετέχουν οι υπάλληλοι της Επιτροπής ή τα εξουσιοδοτημένα από αυτή πρόσωπα.</w:t>
      </w:r>
      <w:bookmarkEnd w:id="71"/>
      <w:r>
        <w:rPr>
          <w:noProof/>
        </w:rPr>
        <w:t xml:space="preserve"> </w:t>
      </w:r>
      <w:bookmarkStart w:id="72" w:name="ai4j4k1n47p2q3"/>
    </w:p>
    <w:p w:rsidR="00A57BFD" w:rsidRDefault="005B0D19">
      <w:pPr>
        <w:pStyle w:val="Text1"/>
        <w:rPr>
          <w:noProof/>
        </w:rPr>
      </w:pPr>
      <w:r>
        <w:rPr>
          <w:noProof/>
        </w:rPr>
        <w:t>Για τη βελτίωση των ελέγχων, η Επιτροπή δύναται, κατόπιν συμφωνίας με τα ενδιαφερόμενα κράτη μέλη, να ζητεί τη συνδρομή των αρχών των εν λόγω κρατών μελών για ορισμένους ελέγχους ή έρευνες.</w:t>
      </w:r>
      <w:bookmarkEnd w:id="70"/>
      <w:bookmarkEnd w:id="72"/>
    </w:p>
    <w:p w:rsidR="00A57BFD" w:rsidRDefault="005B0D19">
      <w:pPr>
        <w:pStyle w:val="Text1"/>
        <w:rPr>
          <w:noProof/>
        </w:rPr>
      </w:pPr>
      <w:r>
        <w:rPr>
          <w:noProof/>
        </w:rPr>
        <w:t xml:space="preserve"> </w:t>
      </w:r>
    </w:p>
    <w:p w:rsidR="00A57BFD" w:rsidRDefault="005B0D19">
      <w:pPr>
        <w:pStyle w:val="Titrearticle1"/>
        <w:rPr>
          <w:noProof/>
        </w:rPr>
      </w:pPr>
      <w:bookmarkStart w:id="73" w:name="ai4j4k1n48g"/>
      <w:bookmarkStart w:id="74" w:name="ai4j4k1n48"/>
      <w:r>
        <w:rPr>
          <w:noProof/>
        </w:rPr>
        <w:t>Άρθρο 48</w:t>
      </w:r>
      <w:r>
        <w:rPr>
          <w:noProof/>
        </w:rPr>
        <w:br/>
      </w:r>
      <w:r>
        <w:rPr>
          <w:b/>
          <w:noProof/>
        </w:rPr>
        <w:t>Πρόσβαση στις πληροφορίες</w:t>
      </w:r>
    </w:p>
    <w:p w:rsidR="00A57BFD" w:rsidRDefault="005B0D19">
      <w:pPr>
        <w:pStyle w:val="ManualNumPar1"/>
        <w:rPr>
          <w:noProof/>
        </w:rPr>
      </w:pPr>
      <w:bookmarkStart w:id="75" w:name="ai4j4k1n48p1"/>
      <w:bookmarkStart w:id="76" w:name="ai4j4k1n48p1q1"/>
      <w:bookmarkEnd w:id="73"/>
      <w:r>
        <w:t>1.</w:t>
      </w:r>
      <w:r>
        <w:tab/>
      </w:r>
      <w:r>
        <w:rPr>
          <w:noProof/>
        </w:rPr>
        <w:t>Τα κράτη μέλη θέτουν στη διάθεση της Επιτροπής όλα τα απαραίτητα στοιχεία για την εύρυθμη λειτουργία των ταμείων και λαμβάνουν όλα τα πρόσφορα μέτρα για να διευκολύνουν τους ελέγχους τους οποίους η Επιτροπή θεωρεί χρήσιμους στο πλαίσιο της διαχείρισης της ενωσιακής χρηματοδότησης.</w:t>
      </w:r>
      <w:bookmarkEnd w:id="75"/>
      <w:bookmarkEnd w:id="76"/>
    </w:p>
    <w:p w:rsidR="00A57BFD" w:rsidRDefault="005B0D19">
      <w:pPr>
        <w:pStyle w:val="ManualNumPar1"/>
        <w:rPr>
          <w:noProof/>
        </w:rPr>
      </w:pPr>
      <w:bookmarkStart w:id="77" w:name="ai4j4k1n48p2"/>
      <w:bookmarkStart w:id="78" w:name="ai4j4k1n48p2q1"/>
      <w:r>
        <w:t>2.</w:t>
      </w:r>
      <w:r>
        <w:tab/>
      </w:r>
      <w:r>
        <w:rPr>
          <w:noProof/>
        </w:rPr>
        <w:t>Τα κράτη μέλη γνωστοποιούν στην Επιτροπή, κατόπιν αίτησης, τις νομοθετικές, κανονιστικές και διοικητικές διατάξεις τις οποίες θεσπίζουν για την εφαρμογή των ενωσιακών πράξεων που σχετίζονται με την ΚΓΠ, εφόσον οι πράξεις αυτές έχουν δημοσιονομικές επιπτώσεις στο ΕΓΤΕ ή στο ΕΓΤΑΑ.</w:t>
      </w:r>
      <w:bookmarkEnd w:id="77"/>
      <w:bookmarkEnd w:id="78"/>
    </w:p>
    <w:p w:rsidR="00A57BFD" w:rsidRDefault="005B0D19">
      <w:pPr>
        <w:pStyle w:val="ManualNumPar1"/>
        <w:rPr>
          <w:noProof/>
        </w:rPr>
      </w:pPr>
      <w:bookmarkStart w:id="79" w:name="ai4j4k1n48p3"/>
      <w:bookmarkStart w:id="80" w:name="ai4j4k1n48p3q1"/>
      <w:r>
        <w:t>3.</w:t>
      </w:r>
      <w:r>
        <w:tab/>
      </w:r>
      <w:r>
        <w:rPr>
          <w:noProof/>
        </w:rPr>
        <w:t>Τα κράτη μέλη θέτουν στη διάθεση της Επιτροπής στοιχεία για τις παρατυπίες κατά την έννοια του κανονισμού (ΕΕ, Ευρατόμ) αριθ. 2988/95, για άλλες περιπτώσεις μη συμμόρφωσης με τις προϋποθέσεις που καθορίζονται από τα κράτη μέλη στο πλαίσιο του στρατηγικού σχεδίου της ΚΓΠ, τις περιπτώσεις εικαζόμενης απάτης που διαπιστώνονται, καθώς και πληροφορίες για τα μέτρα που λαμβάνονται σύμφωνα με το τμήμα 3 του παρόντος κεφαλαίου για την ανάκτηση των αχρεωστήτως καταβληθέντων ποσών σε σχέση με τις εν λόγω παρατυπίες και απάτες.</w:t>
      </w:r>
      <w:bookmarkEnd w:id="79"/>
      <w:bookmarkEnd w:id="80"/>
    </w:p>
    <w:p w:rsidR="00A57BFD" w:rsidRDefault="005B0D19">
      <w:pPr>
        <w:pStyle w:val="Titrearticle1"/>
        <w:rPr>
          <w:noProof/>
        </w:rPr>
      </w:pPr>
      <w:bookmarkStart w:id="81" w:name="ai4j4k1n49g"/>
      <w:bookmarkStart w:id="82" w:name="ai4j4k1n49"/>
      <w:bookmarkEnd w:id="74"/>
      <w:r>
        <w:rPr>
          <w:noProof/>
        </w:rPr>
        <w:lastRenderedPageBreak/>
        <w:t>Άρθρο 49</w:t>
      </w:r>
      <w:r>
        <w:rPr>
          <w:noProof/>
        </w:rPr>
        <w:br/>
      </w:r>
      <w:r>
        <w:rPr>
          <w:b/>
          <w:noProof/>
        </w:rPr>
        <w:t>Πρόσβαση στα έγγραφα</w:t>
      </w:r>
    </w:p>
    <w:p w:rsidR="00A57BFD" w:rsidRDefault="005B0D19">
      <w:pPr>
        <w:rPr>
          <w:noProof/>
        </w:rPr>
      </w:pPr>
      <w:bookmarkStart w:id="83" w:name="ai4j4k1n49q1"/>
      <w:bookmarkEnd w:id="81"/>
      <w:r>
        <w:rPr>
          <w:noProof/>
        </w:rPr>
        <w:t>Οι διαπιστευμένοι οργανισμοί πληρωμών φυλάσσουν τα δικαιολογητικά έγγραφα των πραγματοποιούμενων πληρωμών και τα έγγραφα σχετικά με τη διενέργεια των ελέγχων που επιβάλλει η ενωσιακή νομοθεσία και θέτουν τα εν λόγω έγγραφα και στοιχεία στη διάθεση της Επιτροπής.</w:t>
      </w:r>
    </w:p>
    <w:p w:rsidR="00A57BFD" w:rsidRDefault="005B0D19">
      <w:pPr>
        <w:rPr>
          <w:noProof/>
        </w:rPr>
      </w:pPr>
      <w:r>
        <w:rPr>
          <w:noProof/>
        </w:rPr>
        <w:t>Αυτά τα δικαιολογητικά έγγραφα μπορούν να φυλάσσονται σε ηλεκτρονική μορφή υπό τους όρους που θέτει η Επιτροπή βάσει του άρθρου </w:t>
      </w:r>
      <w:bookmarkEnd w:id="83"/>
      <w:r>
        <w:rPr>
          <w:noProof/>
        </w:rPr>
        <w:t>50 παράγραφος 2.</w:t>
      </w:r>
    </w:p>
    <w:p w:rsidR="00A57BFD" w:rsidRDefault="005B0D19">
      <w:pPr>
        <w:rPr>
          <w:noProof/>
        </w:rPr>
      </w:pPr>
      <w:bookmarkStart w:id="84" w:name="ai4j4k1n49q2"/>
      <w:r>
        <w:rPr>
          <w:noProof/>
        </w:rPr>
        <w:t>Όταν τα ανωτέρω έγγραφα φυλάσσονται από αρχή εξουσιοδοτημένη από οργανισμό πληρωμών, η οποία είναι επιφορτισμένη με την έγκριση των δαπανών, η αρχή αυτή διαβιβάζει στον διαπιστευμένο οργανισμό πληρωμών εκθέσεις σχετικά με τον αριθμό και το αντικείμενο των διενεργηθέντων ελέγχων και με τα μέτρα που ελήφθησαν με βάση τα πορίσματά τους.</w:t>
      </w:r>
      <w:bookmarkEnd w:id="82"/>
      <w:bookmarkEnd w:id="84"/>
    </w:p>
    <w:p w:rsidR="00A57BFD" w:rsidRDefault="005B0D19">
      <w:pPr>
        <w:rPr>
          <w:noProof/>
        </w:rPr>
      </w:pPr>
      <w:r>
        <w:rPr>
          <w:noProof/>
        </w:rPr>
        <w:t>Το παρόν άρθρο εφαρμόζεται κατ’ αναλογία</w:t>
      </w:r>
      <w:r>
        <w:rPr>
          <w:i/>
          <w:noProof/>
        </w:rPr>
        <w:t xml:space="preserve"> </w:t>
      </w:r>
      <w:r>
        <w:rPr>
          <w:noProof/>
        </w:rPr>
        <w:t xml:space="preserve">στους οργανισμούς πιστοποίησης. </w:t>
      </w:r>
    </w:p>
    <w:p w:rsidR="00A57BFD" w:rsidRDefault="005B0D19">
      <w:pPr>
        <w:pStyle w:val="Titrearticle1"/>
        <w:rPr>
          <w:b/>
          <w:noProof/>
        </w:rPr>
      </w:pPr>
      <w:bookmarkStart w:id="85" w:name="ai4j4k1n50g"/>
      <w:bookmarkStart w:id="86" w:name="ai4j4k1n50"/>
      <w:r>
        <w:rPr>
          <w:noProof/>
        </w:rPr>
        <w:t>Άρθρο 50</w:t>
      </w:r>
      <w:r>
        <w:rPr>
          <w:noProof/>
        </w:rPr>
        <w:br/>
      </w:r>
      <w:r>
        <w:rPr>
          <w:b/>
          <w:noProof/>
        </w:rPr>
        <w:t>Αρμοδιότητες της Επιτροπής</w:t>
      </w:r>
      <w:bookmarkEnd w:id="85"/>
    </w:p>
    <w:p w:rsidR="00A57BFD" w:rsidRDefault="005B0D19">
      <w:pPr>
        <w:pStyle w:val="ManualNumPar1"/>
        <w:rPr>
          <w:noProof/>
        </w:rPr>
      </w:pPr>
      <w:bookmarkStart w:id="87" w:name="ai4j4k1n50p1"/>
      <w:bookmarkStart w:id="88" w:name="ai4j4k1n50p1q1"/>
      <w:r>
        <w:t>1.</w:t>
      </w:r>
      <w:r>
        <w:tab/>
      </w:r>
      <w:r>
        <w:rPr>
          <w:noProof/>
        </w:rPr>
        <w:t>Ανατίθεται στην Επιτροπή η εξουσία να εκδίδει κατ’ εξουσιοδότηση πράξεις σύμφωνα με το άρθρο 100 με σκοπό τη συμπλήρωση του παρόντος κανονισμού με τις ειδικές υποχρεώσεις που πρέπει να τηρούν τα κράτη μέλη βάσει του παρόντος κεφαλαίου και με κανόνες ιδίως σχετικά με τα κριτήρια για τον προσδιορισμό των περιπτώσεων παρατυπίας κατά την έννοια του κανονισμού (ΕΕ, Ευρατόμ) αριθ. 2988/95 και άλλων περιπτώσεων μη συμμόρφωσης με τις προϋποθέσεις που καθορίζονται από τα κράτη μέλη στο πλαίσιο του στρατηγικού σχεδίου της ΚΓΠ, οι οποίες πρέπει να αναφέρονται, και τα στοιχεία που πρέπει να παρέχονται.</w:t>
      </w:r>
      <w:bookmarkEnd w:id="87"/>
      <w:bookmarkEnd w:id="88"/>
    </w:p>
    <w:p w:rsidR="00A57BFD" w:rsidRDefault="005B0D19">
      <w:pPr>
        <w:pStyle w:val="ManualNumPar1"/>
        <w:rPr>
          <w:noProof/>
        </w:rPr>
      </w:pPr>
      <w:bookmarkStart w:id="89" w:name="ai4j4k1n50p2q1"/>
      <w:bookmarkStart w:id="90" w:name="ai4j4k1n50p2"/>
      <w:r>
        <w:t>2.</w:t>
      </w:r>
      <w:r>
        <w:tab/>
      </w:r>
      <w:r>
        <w:rPr>
          <w:noProof/>
        </w:rPr>
        <w:t>Η Επιτροπή μπορεί να εκδίδει εκτελεστικές πράξεις για τον καθορισμό κανόνων όσον αφορά:</w:t>
      </w:r>
    </w:p>
    <w:p w:rsidR="00A57BFD" w:rsidRDefault="005B0D19">
      <w:pPr>
        <w:pStyle w:val="Point10"/>
        <w:rPr>
          <w:noProof/>
        </w:rPr>
      </w:pPr>
      <w:bookmarkStart w:id="91" w:name="ai4j4k1n50p2q1ra2"/>
      <w:bookmarkStart w:id="92" w:name="ai4j4k1n50p2q1ra2q1"/>
      <w:r>
        <w:rPr>
          <w:noProof/>
        </w:rPr>
        <w:t>α)</w:t>
      </w:r>
      <w:r>
        <w:rPr>
          <w:noProof/>
        </w:rPr>
        <w:tab/>
        <w:t>τις διαδικασίες σχετικά με τις υποχρεώσεις συνεργασίας των κρατών μελών για την εφαρμογή των άρθρων 47 και</w:t>
      </w:r>
      <w:bookmarkEnd w:id="91"/>
      <w:bookmarkEnd w:id="92"/>
      <w:r>
        <w:rPr>
          <w:noProof/>
        </w:rPr>
        <w:t xml:space="preserve"> 48·</w:t>
      </w:r>
    </w:p>
    <w:p w:rsidR="00A57BFD" w:rsidRDefault="005B0D19">
      <w:pPr>
        <w:pStyle w:val="Point10"/>
        <w:rPr>
          <w:noProof/>
        </w:rPr>
      </w:pPr>
      <w:bookmarkStart w:id="93" w:name="ai4j4k1n50p2q1ra4q1"/>
      <w:bookmarkStart w:id="94" w:name="ai4j4k1n50p2q2"/>
      <w:bookmarkEnd w:id="89"/>
      <w:r>
        <w:rPr>
          <w:noProof/>
        </w:rPr>
        <w:t>β)</w:t>
      </w:r>
      <w:r>
        <w:rPr>
          <w:noProof/>
        </w:rPr>
        <w:tab/>
        <w:t>τις προϋποθέσεις σύμφωνα με τις οποίες τηρούνται τα δικαιολογητικά έγγραφα που αναφέρονται στο άρθρο 49,</w:t>
      </w:r>
      <w:r>
        <w:rPr>
          <w:b/>
          <w:noProof/>
        </w:rPr>
        <w:t xml:space="preserve"> </w:t>
      </w:r>
      <w:r>
        <w:rPr>
          <w:noProof/>
        </w:rPr>
        <w:t>συμπεριλαμβανομένης της μορφής τους και της χρονικής περιόδου αποθήκευσής τους.</w:t>
      </w:r>
      <w:bookmarkEnd w:id="93"/>
    </w:p>
    <w:p w:rsidR="00A57BFD" w:rsidRDefault="005B0D19">
      <w:pPr>
        <w:pStyle w:val="Text1"/>
        <w:rPr>
          <w:noProof/>
        </w:rPr>
      </w:pPr>
      <w:r>
        <w:rPr>
          <w:noProof/>
        </w:rPr>
        <w:t xml:space="preserve">Οι εν λόγω εκτελεστικές πράξεις εκδίδονται σύμφωνα με τη διαδικασία εξέτασης που προβλέπεται στο άρθρο 101 </w:t>
      </w:r>
      <w:bookmarkEnd w:id="86"/>
      <w:bookmarkEnd w:id="90"/>
      <w:bookmarkEnd w:id="94"/>
      <w:r>
        <w:rPr>
          <w:noProof/>
        </w:rPr>
        <w:t>παράγραφος 3.</w:t>
      </w:r>
    </w:p>
    <w:p w:rsidR="00A57BFD" w:rsidRDefault="005B0D19">
      <w:pPr>
        <w:pStyle w:val="SectionTitle"/>
        <w:rPr>
          <w:noProof/>
        </w:rPr>
      </w:pPr>
      <w:r>
        <w:rPr>
          <w:noProof/>
        </w:rPr>
        <w:t>Τμήμα 2</w:t>
      </w:r>
      <w:r>
        <w:rPr>
          <w:noProof/>
        </w:rPr>
        <w:br/>
        <w:t>Εκκαθάριση</w:t>
      </w:r>
    </w:p>
    <w:p w:rsidR="00A57BFD" w:rsidRDefault="005B0D19">
      <w:pPr>
        <w:pStyle w:val="Titrearticle1"/>
        <w:rPr>
          <w:b/>
          <w:noProof/>
        </w:rPr>
      </w:pPr>
      <w:r>
        <w:rPr>
          <w:noProof/>
        </w:rPr>
        <w:t>Άρθρο 51</w:t>
      </w:r>
      <w:r>
        <w:rPr>
          <w:noProof/>
        </w:rPr>
        <w:br/>
      </w:r>
      <w:r>
        <w:rPr>
          <w:b/>
          <w:noProof/>
        </w:rPr>
        <w:t>Ετήσια δημοσιονομική εκκαθάριση</w:t>
      </w:r>
    </w:p>
    <w:p w:rsidR="00A57BFD" w:rsidRDefault="005B0D19">
      <w:pPr>
        <w:pStyle w:val="ManualNumPar1"/>
        <w:rPr>
          <w:noProof/>
        </w:rPr>
      </w:pPr>
      <w:r>
        <w:t>1.</w:t>
      </w:r>
      <w:r>
        <w:tab/>
      </w:r>
      <w:r>
        <w:rPr>
          <w:noProof/>
        </w:rPr>
        <w:t xml:space="preserve">Πριν από τις 31 Μαΐου του έτους που έπεται του σχετικού οικονομικού έτους και με βάση τα στοιχεία που αναφέρονται στο άρθρο 8 παράγραφος 3 στοιχεία α) και γ), η Επιτροπή εκδίδει εκτελεστικές πράξεις, που περιέχουν την απόφασή της για την εκκαθάριση λογαριασμών των διαπιστευμένων οργανισμών πληρωμών, όσον αφορά τις δαπάνες που αναφέρονται στο άρθρο 5 παράγραφος 2 και στο άρθρο 6. </w:t>
      </w:r>
    </w:p>
    <w:p w:rsidR="00A57BFD" w:rsidRDefault="005B0D19">
      <w:pPr>
        <w:pStyle w:val="Text1"/>
        <w:rPr>
          <w:noProof/>
        </w:rPr>
      </w:pPr>
      <w:r>
        <w:rPr>
          <w:noProof/>
        </w:rPr>
        <w:lastRenderedPageBreak/>
        <w:t xml:space="preserve">Οι εν λόγω εκτελεστικές πράξεις καλύπτουν την πληρότητα, την ακρίβεια και την ειλικρίνεια των υποβαλλόμενων ετήσιων λογαριασμών και εκδίδονται με την επιφύλαξη των εκτελεστικών πράξεων που εκδίδονται μεταγενέστερα βάσει των άρθρων 52 και 53. </w:t>
      </w:r>
    </w:p>
    <w:p w:rsidR="00A57BFD" w:rsidRDefault="005B0D19">
      <w:pPr>
        <w:pStyle w:val="Text1"/>
        <w:rPr>
          <w:noProof/>
        </w:rPr>
      </w:pPr>
      <w:r>
        <w:rPr>
          <w:noProof/>
        </w:rPr>
        <w:t>Οι εν λόγω εκτελεστικές πράξεις εκδίδονται με τη συμβουλευτική διαδικασία που αναφέρεται στο άρθρο 101 παράγραφος 2.</w:t>
      </w:r>
    </w:p>
    <w:p w:rsidR="00A57BFD" w:rsidRDefault="005B0D19">
      <w:pPr>
        <w:pStyle w:val="ManualNumPar1"/>
        <w:rPr>
          <w:noProof/>
        </w:rPr>
      </w:pPr>
      <w:r>
        <w:t>2.</w:t>
      </w:r>
      <w:r>
        <w:tab/>
      </w:r>
      <w:r>
        <w:rPr>
          <w:noProof/>
        </w:rPr>
        <w:t>Η Επιτροπή εκδίδει εκτελεστικές πράξεις για τη θέσπιση κανόνων σχετικά με την εκκαθάριση λογαριασμών που προβλέπεται στην παράγραφο 1 όσον αφορά τα μέτρα που πρέπει να ληφθούν για την έκδοση των εκτελεστικών πράξεων που αναφέρονται στην παράγραφο 1 δεύτερο εδάφιο και την εφαρμογή τους, συμπεριλαμβανομένης της ανταλλαγής πληροφοριών μεταξύ της Επιτροπής και των κρατών μελών καθώς και των προθεσμιών που πρέπει να τηρούνται.</w:t>
      </w:r>
    </w:p>
    <w:p w:rsidR="00A57BFD" w:rsidRDefault="005B0D19">
      <w:pPr>
        <w:pStyle w:val="Text1"/>
        <w:rPr>
          <w:noProof/>
        </w:rPr>
      </w:pPr>
      <w:r>
        <w:rPr>
          <w:noProof/>
        </w:rPr>
        <w:t>Οι εν λόγω εκτελεστικές πράξεις εκδίδονται σύμφωνα με τη διαδικασία εξέτασης που προβλέπεται στο άρθρο 101 παράγραφος 3.</w:t>
      </w:r>
    </w:p>
    <w:p w:rsidR="00A57BFD" w:rsidRDefault="005B0D19">
      <w:pPr>
        <w:pStyle w:val="Titrearticle1"/>
        <w:rPr>
          <w:b/>
          <w:noProof/>
        </w:rPr>
      </w:pPr>
      <w:r>
        <w:rPr>
          <w:noProof/>
        </w:rPr>
        <w:t>Άρθρο 52</w:t>
      </w:r>
      <w:r>
        <w:rPr>
          <w:noProof/>
        </w:rPr>
        <w:br/>
      </w:r>
      <w:r>
        <w:rPr>
          <w:b/>
          <w:noProof/>
        </w:rPr>
        <w:t>Ετήσια εκκαθάριση επιδόσεων</w:t>
      </w:r>
    </w:p>
    <w:p w:rsidR="00A57BFD" w:rsidRDefault="005B0D19">
      <w:pPr>
        <w:pStyle w:val="ManualNumPar1"/>
        <w:rPr>
          <w:noProof/>
        </w:rPr>
      </w:pPr>
      <w:r>
        <w:t>1.</w:t>
      </w:r>
      <w:r>
        <w:tab/>
      </w:r>
      <w:r>
        <w:rPr>
          <w:noProof/>
        </w:rPr>
        <w:t>Όταν οι δαπάνες που αναφέρονται στο άρθρο 5 παράγραφος 2 και στο άρθρο 6 και αντιστοιχούν στις παρεμβάσεις που αναφέρονται στον τίτλο ΙΙΙ του κανονισμού (ΕΕ) …/… [κανονισμός για το στρατηγικό σχέδιο της ΚΓΠ] δεν έχουν αντίστοιχη εκροή με αυτή που αναφέρεται στην ετήσια έκθεση επιδόσεων, η Επιτροπή εκδίδει εκτελεστικές πράξεις πριν από τις 15 Οκτωβρίου του έτους που έπεται του εν λόγω οικονομικού έτους, καθορίζοντας τα ποσά που πρόκειται να μειωθούν από την ενωσιακή χρηματοδότηση. Οι εν λόγω εκτελεστικές πράξεις εκδίδονται με την επιφύλαξη του περιεχομένου των εκτελεστικών πράξεων που εκδίδονται μεταγενέστερα βάσει του άρθρου 53 του παρόντος κανονισμού.</w:t>
      </w:r>
    </w:p>
    <w:p w:rsidR="00A57BFD" w:rsidRDefault="005B0D19">
      <w:pPr>
        <w:pStyle w:val="Text1"/>
        <w:rPr>
          <w:noProof/>
        </w:rPr>
      </w:pPr>
      <w:r>
        <w:rPr>
          <w:noProof/>
        </w:rPr>
        <w:t>Οι εν λόγω εκτελεστικές πράξεις εκδίδονται με τη συμβουλευτική διαδικασία που αναφέρεται στο άρθρο 101 παράγραφος 2.</w:t>
      </w:r>
    </w:p>
    <w:p w:rsidR="00A57BFD" w:rsidRDefault="005B0D19">
      <w:pPr>
        <w:pStyle w:val="ManualNumPar1"/>
        <w:rPr>
          <w:noProof/>
        </w:rPr>
      </w:pPr>
      <w:r>
        <w:t>2.</w:t>
      </w:r>
      <w:r>
        <w:tab/>
      </w:r>
      <w:r>
        <w:rPr>
          <w:noProof/>
        </w:rPr>
        <w:t>Η Επιτροπή εκτιμά τα ποσά που πρέπει να μειωθούν με βάση τη διαφορά μεταξύ των ετήσιων δαπανών που δηλώθηκαν για μια παρέμβαση και του ποσού που αντιστοιχεί στη σχετική δηλωθείσα εκροή σύμφωνα με το εθνικό στρατηγικό σχέδιο της ΚΓΠ και λαμβάνοντας υπόψη τις αιτιολογήσεις που παρείχε το κράτος μέλος.</w:t>
      </w:r>
    </w:p>
    <w:p w:rsidR="00A57BFD" w:rsidRDefault="005B0D19">
      <w:pPr>
        <w:pStyle w:val="ManualNumPar1"/>
        <w:rPr>
          <w:noProof/>
        </w:rPr>
      </w:pPr>
      <w:r>
        <w:t>3.</w:t>
      </w:r>
      <w:r>
        <w:tab/>
      </w:r>
      <w:r>
        <w:rPr>
          <w:noProof/>
        </w:rPr>
        <w:t>Πριν από την έκδοση της εκτελεστικής πράξης που αναφέρεται στην παράγραφο 1, η Επιτροπή παρέχει στο κράτος μέλος την ευκαιρία να υποβάλει τις παρατηρήσεις του και να δικαιολογήσει τυχόν διαφορές.</w:t>
      </w:r>
    </w:p>
    <w:p w:rsidR="00A57BFD" w:rsidRDefault="005B0D19">
      <w:pPr>
        <w:pStyle w:val="ManualNumPar1"/>
        <w:rPr>
          <w:noProof/>
        </w:rPr>
      </w:pPr>
      <w:r>
        <w:t>4.</w:t>
      </w:r>
      <w:r>
        <w:tab/>
      </w:r>
      <w:r>
        <w:rPr>
          <w:noProof/>
        </w:rPr>
        <w:t>Η Επιτροπή εξουσιοδοτείται να εκδίδει κατ’ εξουσιοδότηση πράξεις σύμφωνα με το άρθρο 100 με σκοπό τη συμπλήρωση του παρόντος κανονισμού με κανόνες σχετικά με τα κριτήρια για τις αιτιολογήσεις που παρέχει το οικείο κράτος μέλος και τη μεθοδολογία και τα κριτήρια εφαρμογής των μειώσεων.</w:t>
      </w:r>
    </w:p>
    <w:p w:rsidR="00A57BFD" w:rsidRDefault="005B0D19">
      <w:pPr>
        <w:pStyle w:val="ManualNumPar1"/>
        <w:rPr>
          <w:noProof/>
        </w:rPr>
      </w:pPr>
      <w:r>
        <w:t>5.</w:t>
      </w:r>
      <w:r>
        <w:tab/>
      </w:r>
      <w:r>
        <w:rPr>
          <w:noProof/>
        </w:rPr>
        <w:t xml:space="preserve">Η Επιτροπή εκδίδει εκτελεστικές πράξεις για τη θέσπιση κανόνων όσον αφορά τα μέτρα που πρέπει να ληφθούν στο πλαίσιο της έκδοσης της εκτελεστικής πράξης που αναφέρεται στην παράγραφο 1 και της εφαρμογής της, συμπεριλαμβανομένης της ανταλλαγής πληροφοριών μεταξύ της Επιτροπής και των κρατών μελών καθώς και της διαδικασίας και των προθεσμιών που πρέπει να τηρούνται. </w:t>
      </w:r>
    </w:p>
    <w:p w:rsidR="00A57BFD" w:rsidRDefault="005B0D19">
      <w:pPr>
        <w:pStyle w:val="Text1"/>
        <w:rPr>
          <w:noProof/>
        </w:rPr>
      </w:pPr>
      <w:r>
        <w:rPr>
          <w:noProof/>
        </w:rPr>
        <w:t>Οι εν λόγω εκτελεστικές πράξεις εκδίδονται σύμφωνα με τη διαδικασία εξέτασης που προβλέπεται στο άρθρο 101 παράγραφος 3.</w:t>
      </w:r>
    </w:p>
    <w:p w:rsidR="00A57BFD" w:rsidRDefault="005B0D19">
      <w:pPr>
        <w:pStyle w:val="Titrearticle1"/>
        <w:rPr>
          <w:b/>
          <w:noProof/>
        </w:rPr>
      </w:pPr>
      <w:r>
        <w:rPr>
          <w:noProof/>
        </w:rPr>
        <w:lastRenderedPageBreak/>
        <w:t>Άρθρο 53</w:t>
      </w:r>
      <w:r>
        <w:rPr>
          <w:noProof/>
        </w:rPr>
        <w:br/>
      </w:r>
      <w:r>
        <w:rPr>
          <w:b/>
          <w:noProof/>
        </w:rPr>
        <w:t>Διαδικασία συμμόρφωσης</w:t>
      </w:r>
    </w:p>
    <w:p w:rsidR="00A57BFD" w:rsidRDefault="005B0D19">
      <w:pPr>
        <w:pStyle w:val="ManualNumPar1"/>
        <w:rPr>
          <w:noProof/>
        </w:rPr>
      </w:pPr>
      <w:r>
        <w:t>1.</w:t>
      </w:r>
      <w:r>
        <w:tab/>
      </w:r>
      <w:r>
        <w:rPr>
          <w:noProof/>
        </w:rPr>
        <w:t>Όταν η Επιτροπή διαπιστώνει ότι οι δαπάνες που αναφέρονται στο άρθρο 5 παράγραφος 2 και στο άρθρο 6 δεν πραγματοποιήθηκαν σύμφωνα με το δίκαιο της Ένωσης, η Επιτροπή εκδίδει εκτελεστικές πράξεις για τον καθορισμό των ποσών που πρέπει να εξαιρεθούν από την ενωσιακή χρηματοδότηση.</w:t>
      </w:r>
    </w:p>
    <w:p w:rsidR="00A57BFD" w:rsidRDefault="005B0D19">
      <w:pPr>
        <w:pStyle w:val="Text1"/>
        <w:rPr>
          <w:noProof/>
        </w:rPr>
      </w:pPr>
      <w:r>
        <w:rPr>
          <w:noProof/>
        </w:rPr>
        <w:t xml:space="preserve">Ωστόσο, όσον αφορά τους τύπους των παρεμβάσεων που αναφέρονται στον κανονισμό (ΕΕ) …/… [κανονισμός για το στρατηγικό σχέδιο της ΚΓΠ], οι εξαιρέσεις από τη χρηματοδότηση της Ένωσης που αναφέρονται στο πρώτο εδάφιο εφαρμόζονται μόνο σε περίπτωση σοβαρών ελλείψεων στη λειτουργία των συστημάτων διακυβέρνησης των κρατών μελών. </w:t>
      </w:r>
    </w:p>
    <w:p w:rsidR="00A57BFD" w:rsidRDefault="005B0D19">
      <w:pPr>
        <w:pStyle w:val="Text1"/>
        <w:rPr>
          <w:noProof/>
        </w:rPr>
      </w:pPr>
      <w:r>
        <w:rPr>
          <w:noProof/>
        </w:rPr>
        <w:t>Το πρώτο εδάφιο δεν εφαρμόζεται σε περιπτώσεις μη συμμόρφωσης με τις προϋποθέσεις επιλεξιμότητας για μεμονωμένους δικαιούχους που καθορίζονται στα εθνικά στρατηγικά σχέδια της ΚΓΠ και στο εθνικό δίκαιο.</w:t>
      </w:r>
    </w:p>
    <w:p w:rsidR="00A57BFD" w:rsidRDefault="005B0D19">
      <w:pPr>
        <w:pStyle w:val="Text1"/>
        <w:rPr>
          <w:noProof/>
        </w:rPr>
      </w:pPr>
      <w:r>
        <w:rPr>
          <w:noProof/>
        </w:rPr>
        <w:t>Οι εκτελεστικές πράξεις που αναφέρονται στο πρώτο εδάφιο εκδίδονται σύμφωνα με τη συμβουλευτική διαδικασία του άρθρου 101 παράγραφος 2.</w:t>
      </w:r>
    </w:p>
    <w:p w:rsidR="00A57BFD" w:rsidRDefault="005B0D19">
      <w:pPr>
        <w:pStyle w:val="ManualNumPar1"/>
        <w:rPr>
          <w:noProof/>
        </w:rPr>
      </w:pPr>
      <w:r>
        <w:t>2.</w:t>
      </w:r>
      <w:r>
        <w:tab/>
      </w:r>
      <w:r>
        <w:rPr>
          <w:noProof/>
        </w:rPr>
        <w:t xml:space="preserve">Η Επιτροπή εκτιμά τα ποσά που πρέπει να εξαιρεθούν με βάση τη σοβαρότητα των διαπιστούμενων ελλείψεων. </w:t>
      </w:r>
    </w:p>
    <w:p w:rsidR="00A57BFD" w:rsidRDefault="005B0D19">
      <w:pPr>
        <w:pStyle w:val="ManualNumPar1"/>
        <w:rPr>
          <w:noProof/>
        </w:rPr>
      </w:pPr>
      <w:r>
        <w:t>3.</w:t>
      </w:r>
      <w:r>
        <w:tab/>
      </w:r>
      <w:r>
        <w:rPr>
          <w:noProof/>
        </w:rPr>
        <w:t>Πριν από την έκδοση της εκτελεστικής πράξης που αναφέρεται στην παράγραφο 1, κοινοποιούνται εγγράφως τα πορίσματα της Επιτροπής και οι απαντήσεις του οικείου κράτους μέλους και, στη συνέχεια, τα δύο μέρη επιχειρούν να καταλήξουν σε συμφωνία για τα μέτρα που πρέπει να ληφθούν. Ακολούθως, δίνεται στα κράτη μέλη η δυνατότητα να αποδείξουν ότι ο πραγματικός βαθμός της μη συμμόρφωσης είναι μικρότερος από αυτόν που εκτιμά η Επιτροπή.</w:t>
      </w:r>
    </w:p>
    <w:p w:rsidR="00A57BFD" w:rsidRDefault="005B0D19">
      <w:pPr>
        <w:pStyle w:val="Text1"/>
        <w:rPr>
          <w:noProof/>
        </w:rPr>
      </w:pPr>
      <w:r>
        <w:rPr>
          <w:noProof/>
        </w:rPr>
        <w:t>Εάν δεν υπάρξει συμφωνία, το κράτος μέλος δύναται να ζητήσει την έναρξη διαδικασίας με σκοπό να επιτευχθεί εντός τεσσάρων μηνών συμβιβασμός των θέσεων των μερών. Τα αποτελέσματα της διαδικασίας αυτής ανακοινώνονται με έκθεση προς την Επιτροπή. Η Επιτροπή λαμβάνει υπόψη τις συστάσεις της έκθεσης πριν από τη λήψη απόφασης απόρριψης της χρηματοδότησης και παρέχει αιτιολόγηση εάν αποφασίσει να μην ακολουθήσει τις συστάσεις αυτές.</w:t>
      </w:r>
    </w:p>
    <w:p w:rsidR="00A57BFD" w:rsidRDefault="005B0D19">
      <w:pPr>
        <w:pStyle w:val="ManualNumPar1"/>
        <w:rPr>
          <w:noProof/>
        </w:rPr>
      </w:pPr>
      <w:r>
        <w:t>4.</w:t>
      </w:r>
      <w:r>
        <w:tab/>
      </w:r>
      <w:r>
        <w:rPr>
          <w:noProof/>
        </w:rPr>
        <w:t>Η απόρριψη χρηματοδότησης δεν αφορά:</w:t>
      </w:r>
    </w:p>
    <w:p w:rsidR="00A57BFD" w:rsidRDefault="005B0D19">
      <w:pPr>
        <w:pStyle w:val="Point10"/>
        <w:rPr>
          <w:noProof/>
        </w:rPr>
      </w:pPr>
      <w:r>
        <w:rPr>
          <w:noProof/>
        </w:rPr>
        <w:t>α)</w:t>
      </w:r>
      <w:r>
        <w:rPr>
          <w:noProof/>
        </w:rPr>
        <w:tab/>
        <w:t>δαπάνες που αναφέρονται στο άρθρο 5 παράγραφος 2 και πραγματοποιήθηκαν νωρίτερα από 24 μήνες πριν από την έγγραφη ανακοίνωση των πορισμάτων στο κράτος μέλος από την Επιτροπή·</w:t>
      </w:r>
    </w:p>
    <w:p w:rsidR="00A57BFD" w:rsidRDefault="005B0D19">
      <w:pPr>
        <w:pStyle w:val="Point10"/>
        <w:rPr>
          <w:noProof/>
        </w:rPr>
      </w:pPr>
      <w:r>
        <w:rPr>
          <w:noProof/>
        </w:rPr>
        <w:t>β)</w:t>
      </w:r>
      <w:r>
        <w:rPr>
          <w:noProof/>
        </w:rPr>
        <w:tab/>
        <w:t>δαπάνες για πολυετείς παρεμβάσεις που εντάσσονται στο πεδίο εφαρμογής του άρθρου 5 παράγραφος 2 ή στο πεδίο εφαρμογής παρεμβάσεων αγροτικής ανάπτυξης βάσει του άρθρου 6 και για τις οποίες η τελευταία υποχρέωση που υπέχει ο δικαιούχος ανελήφθη νωρίτερα από 24 μήνες πριν από την έγγραφη ανακοίνωση των πορισμάτων στο κράτος μέλος από την Επιτροπή·</w:t>
      </w:r>
    </w:p>
    <w:p w:rsidR="00A57BFD" w:rsidRDefault="005B0D19">
      <w:pPr>
        <w:pStyle w:val="Point10"/>
        <w:rPr>
          <w:noProof/>
        </w:rPr>
      </w:pPr>
      <w:r>
        <w:rPr>
          <w:noProof/>
        </w:rPr>
        <w:t>γ)</w:t>
      </w:r>
      <w:r>
        <w:rPr>
          <w:noProof/>
        </w:rPr>
        <w:tab/>
        <w:t>δαπάνες για παρεμβάσεις αγροτικής ανάπτυξης βάσει του άρθρου 6, εκτός από αυτές του στοιχείου β) της παρούσας παραγράφου, για τις οποίες η πληρωμή ή ενδεχομένως η τελική πληρωμή από τον οργανισμό πληρωμών πραγματοποιήθηκε νωρίτερα από 24 μήνες πριν από την έγγραφη ανακοίνωση των πορισμάτων στο ενδιαφερόμενο κράτος μέλος από την Επιτροπή.</w:t>
      </w:r>
    </w:p>
    <w:p w:rsidR="00A57BFD" w:rsidRDefault="005B0D19">
      <w:pPr>
        <w:pStyle w:val="ManualNumPar1"/>
        <w:rPr>
          <w:noProof/>
        </w:rPr>
      </w:pPr>
      <w:r>
        <w:t>5.</w:t>
      </w:r>
      <w:r>
        <w:tab/>
      </w:r>
      <w:r>
        <w:rPr>
          <w:noProof/>
        </w:rPr>
        <w:t>Η παράγραφος 4 δεν εφαρμόζεται όσον αφορά:</w:t>
      </w:r>
    </w:p>
    <w:p w:rsidR="00A57BFD" w:rsidRDefault="005B0D19">
      <w:pPr>
        <w:pStyle w:val="Point10"/>
        <w:rPr>
          <w:noProof/>
        </w:rPr>
      </w:pPr>
      <w:r>
        <w:rPr>
          <w:noProof/>
        </w:rPr>
        <w:lastRenderedPageBreak/>
        <w:t>α)</w:t>
      </w:r>
      <w:r>
        <w:rPr>
          <w:noProof/>
        </w:rPr>
        <w:tab/>
        <w:t>ενισχύσεις που χορηγούνται από κράτος μέλος για τις οποίες η Επιτροπή κίνησε τη διαδικασία που ορίζεται στο άρθρο 108 παράγραφος 2 της Συνθήκης ή παραβάσεις για τις οποίες η Επιτροπή έχει στείλει αιτιολογημένη γνώμη στο κράτος μέλος σύμφωνα με το άρθρο 258 της Συνθήκης·</w:t>
      </w:r>
    </w:p>
    <w:p w:rsidR="00A57BFD" w:rsidRDefault="005B0D19">
      <w:pPr>
        <w:pStyle w:val="Point10"/>
        <w:rPr>
          <w:noProof/>
        </w:rPr>
      </w:pPr>
      <w:r>
        <w:rPr>
          <w:noProof/>
        </w:rPr>
        <w:t>β)</w:t>
      </w:r>
      <w:r>
        <w:rPr>
          <w:noProof/>
        </w:rPr>
        <w:tab/>
        <w:t>παράβαση από το κράτος μέλος των υποχρεώσεών του δυνάμει του τίτλου V κεφάλαιο ΙΙΙ του παρόντος κανονισμού, υπό τον όρο ότι η Επιτροπή κοινοποιεί εγγράφως στο κράτος μέλος τα πορίσματά της, εντός 12 μηνών από την παραλαβή της έκθεσης του κράτους μέλους που αφορά τα αποτελέσματα των ελέγχων των σχετικών δαπανών.</w:t>
      </w:r>
    </w:p>
    <w:p w:rsidR="00A57BFD" w:rsidRDefault="005B0D19">
      <w:pPr>
        <w:pStyle w:val="ManualNumPar1"/>
        <w:rPr>
          <w:noProof/>
        </w:rPr>
      </w:pPr>
      <w:r>
        <w:t>6.</w:t>
      </w:r>
      <w:r>
        <w:tab/>
      </w:r>
      <w:r>
        <w:rPr>
          <w:noProof/>
        </w:rPr>
        <w:t>Η Επιτροπή εξουσιοδοτείται να εκδίδει κατ’ εξουσιοδότηση πράξεις σύμφωνα με το άρθρο 100 με σκοπό τη συμπλήρωση του παρόντος κανονισμού με κανόνες σχετικά με τα κριτήρια και τη μεθοδολογία για την εφαρμογή των δημοσιονομικών διορθώσεων.</w:t>
      </w:r>
    </w:p>
    <w:p w:rsidR="00A57BFD" w:rsidRDefault="005B0D19">
      <w:pPr>
        <w:pStyle w:val="ManualNumPar1"/>
        <w:rPr>
          <w:noProof/>
        </w:rPr>
      </w:pPr>
      <w:r>
        <w:t>7.</w:t>
      </w:r>
      <w:r>
        <w:tab/>
      </w:r>
      <w:r>
        <w:rPr>
          <w:noProof/>
        </w:rPr>
        <w:t xml:space="preserve">Η Επιτροπή εκδίδει εκτελεστικές πράξεις για τη θέσπιση κανόνων σχετικά με τα μέτρα που πρέπει να ληφθούν στο πλαίσιο της έκδοσης της εκτελεστικής πράξης που αναφέρεται στην παράγραφο 1 και της εφαρμογής της, συμπεριλαμβανομένης της ανταλλαγής πληροφοριών μεταξύ της Επιτροπής και των κρατών μελών, των προθεσμιών που πρέπει να τηρούνται, καθώς και της διαδικασίας συμβιβασμού που προβλέπεται στην παράγραφο 3, συμπεριλαμβανομένης της σύστασης, των καθηκόντων, της σύνθεσης και των ρυθμίσεων εργασίας του οργάνου συμβιβασμού. </w:t>
      </w:r>
    </w:p>
    <w:p w:rsidR="00A57BFD" w:rsidRDefault="005B0D19">
      <w:pPr>
        <w:pStyle w:val="Text1"/>
        <w:rPr>
          <w:noProof/>
        </w:rPr>
      </w:pPr>
      <w:r>
        <w:rPr>
          <w:noProof/>
        </w:rPr>
        <w:t>Οι εν λόγω εκτελεστικές πράξεις εκδίδονται σύμφωνα με τη διαδικασία εξέτασης που προβλέπεται στο άρθρο 101 παράγραφος 3.</w:t>
      </w:r>
    </w:p>
    <w:p w:rsidR="00A57BFD" w:rsidRDefault="005B0D19">
      <w:pPr>
        <w:pStyle w:val="SectionTitle"/>
        <w:rPr>
          <w:noProof/>
        </w:rPr>
      </w:pPr>
      <w:r>
        <w:rPr>
          <w:noProof/>
        </w:rPr>
        <w:t>Τμήμα 3</w:t>
      </w:r>
      <w:r>
        <w:rPr>
          <w:noProof/>
        </w:rPr>
        <w:br/>
        <w:t>Ανακτήσεις για μη συμμόρφωση</w:t>
      </w:r>
    </w:p>
    <w:p w:rsidR="00A57BFD" w:rsidRDefault="005B0D19">
      <w:pPr>
        <w:pStyle w:val="Titrearticle1"/>
        <w:rPr>
          <w:b/>
          <w:noProof/>
        </w:rPr>
      </w:pPr>
      <w:r>
        <w:rPr>
          <w:noProof/>
        </w:rPr>
        <w:t>Άρθρο 54</w:t>
      </w:r>
      <w:r>
        <w:rPr>
          <w:noProof/>
        </w:rPr>
        <w:br/>
      </w:r>
      <w:r>
        <w:rPr>
          <w:b/>
          <w:noProof/>
        </w:rPr>
        <w:t>Ειδικές διατάξεις για το ΕΓΤΕ</w:t>
      </w:r>
    </w:p>
    <w:p w:rsidR="00A57BFD" w:rsidRDefault="005B0D19">
      <w:pPr>
        <w:rPr>
          <w:noProof/>
        </w:rPr>
      </w:pPr>
      <w:bookmarkStart w:id="95" w:name="ai4j4k3n55q1"/>
      <w:bookmarkStart w:id="96" w:name="ai4j4k3n55"/>
      <w:r>
        <w:rPr>
          <w:noProof/>
        </w:rPr>
        <w:t>Τα ποσά που ανακτώνται από τα κράτη μέλη ως επακόλουθο παρατυπίας και άλλων περιπτώσεων μη συμμόρφωσης των δικαιούχων με τους όρους των παρεμβάσεων που αναφέρονται στο στρατηγικό σχέδιο της ΚΓΠ και οι σχετικοί τόκοι καταβάλλονται στον οργανισμό πληρωμών και καταγράφονται από αυτόν ως έσοδα ειδικού προορισμού του ΕΓΤΕ τον μήνα κατά τον οποίο εισπράχθηκαν πραγματικά τα ποσά.</w:t>
      </w:r>
      <w:bookmarkEnd w:id="95"/>
    </w:p>
    <w:p w:rsidR="00A57BFD" w:rsidRDefault="005B0D19">
      <w:pPr>
        <w:rPr>
          <w:noProof/>
        </w:rPr>
      </w:pPr>
      <w:bookmarkStart w:id="97" w:name="ai4j4k3n55q2"/>
      <w:r>
        <w:rPr>
          <w:noProof/>
        </w:rPr>
        <w:t>Κατά την καταβολή στον προϋπολογισμό της Ένωσης, όπως αναφέρεται στο πρώτο εδάφιο, το κράτος μέλος δύναται να παρακρατεί το 20 % των αντιστοίχων ποσών ως κατ’ αποκοπή έξοδα ανάκτησης, με εξαίρεση τα ποσά που συνδέονται με μη συμμόρφωση που μπορεί να αποδοθεί στις διοικητικές υπηρεσίες ή σε άλλους επίσημους οργανισμούς.</w:t>
      </w:r>
      <w:bookmarkEnd w:id="96"/>
      <w:bookmarkEnd w:id="97"/>
    </w:p>
    <w:p w:rsidR="00A57BFD" w:rsidRDefault="005B0D19">
      <w:pPr>
        <w:pStyle w:val="Titrearticle1"/>
        <w:rPr>
          <w:b/>
          <w:noProof/>
        </w:rPr>
      </w:pPr>
      <w:bookmarkStart w:id="98" w:name="ai4j4k3n56g"/>
      <w:bookmarkStart w:id="99" w:name="ai4j4k3n56"/>
      <w:r>
        <w:rPr>
          <w:noProof/>
        </w:rPr>
        <w:t>Άρθρο 55</w:t>
      </w:r>
      <w:r>
        <w:rPr>
          <w:noProof/>
        </w:rPr>
        <w:br/>
      </w:r>
      <w:r>
        <w:rPr>
          <w:b/>
          <w:noProof/>
        </w:rPr>
        <w:t>Ειδικές διατάξεις για το ΕΓΤΑΑ</w:t>
      </w:r>
    </w:p>
    <w:p w:rsidR="00A57BFD" w:rsidRDefault="005B0D19">
      <w:pPr>
        <w:pStyle w:val="ManualNumPar1"/>
        <w:rPr>
          <w:noProof/>
        </w:rPr>
      </w:pPr>
      <w:bookmarkStart w:id="100" w:name="ai4j4k3n56q1"/>
      <w:bookmarkEnd w:id="98"/>
      <w:r>
        <w:t>1.</w:t>
      </w:r>
      <w:r>
        <w:tab/>
      </w:r>
      <w:r>
        <w:rPr>
          <w:noProof/>
        </w:rPr>
        <w:t>Σε περίπτωση διαπίστωσης παρατυπιών και άλλων περιπτώσεων μη συμμόρφωσης των δικαιούχων με τους όρους των παρεμβάσεων αγροτικής ανάπτυξης που αναφέρονται στο στρατηγικό σχέδιο της ΚΓΠ, τα κράτη μέλη προβαίνουν σε δημοσιονομικές προσαρμογές με πλήρη ή μερική ακύρωση της σχετικής χρηματοδότησης της Ένωσης. Τα κράτη μέλη λαμβάνουν υπόψη το είδος και τη σοβαρότητα της μη συμμόρφωσης που διαπιστώνεται καθώς και το ύψος της οικονομικής ζημίας που υφίσταται το ΕΓΤΑΑ.</w:t>
      </w:r>
      <w:bookmarkEnd w:id="100"/>
    </w:p>
    <w:p w:rsidR="00A57BFD" w:rsidRDefault="005B0D19">
      <w:pPr>
        <w:pStyle w:val="Text1"/>
        <w:rPr>
          <w:noProof/>
        </w:rPr>
      </w:pPr>
      <w:bookmarkStart w:id="101" w:name="ai4j4k3n56q2"/>
      <w:r>
        <w:rPr>
          <w:noProof/>
        </w:rPr>
        <w:lastRenderedPageBreak/>
        <w:t xml:space="preserve">Τα ποσά της ενωσιακής χρηματοδότησης στο πλαίσιο του ΕΓΤΑΑ που ακυρώνονται και τα ανακτώμενα ποσά καθώς και οι αντίστοιχοι τόκοι επαναδιατίθενται σε άλλες παρεμβάσεις αγροτικής ανάπτυξης στο στρατηγικό σχέδιο της ΚΓΠ. Ωστόσο, τα ενωσιακά κονδύλια που προέρχονται από ακύρωση ή ανάκτηση μπορούν να επαναχρησιμοποιηθούν από το κράτος μέλος μόνο για πράξη αγροτικής ανάπτυξης στο πλαίσιο του εθνικού στρατηγικού σχεδίου της ΚΓΠ και υπό τον όρο ότι δεν θα επαναδιατεθούν για πράξεις αγροτικής ανάπτυξης που αποτέλεσαν το αντικείμενο δημοσιονομικής προσαρμογής. </w:t>
      </w:r>
      <w:bookmarkEnd w:id="99"/>
      <w:bookmarkEnd w:id="101"/>
    </w:p>
    <w:p w:rsidR="00A57BFD" w:rsidRDefault="005B0D19">
      <w:pPr>
        <w:pStyle w:val="ManualNumPar1"/>
        <w:rPr>
          <w:noProof/>
        </w:rPr>
      </w:pPr>
      <w:r>
        <w:t>2.</w:t>
      </w:r>
      <w:r>
        <w:tab/>
      </w:r>
      <w:r>
        <w:rPr>
          <w:noProof/>
        </w:rPr>
        <w:t>Για τις παρεμβάσεις αγροτικής ανάπτυξης οι οποίες λαμβάνουν ενίσχυση από χρηματοδοτικά μέσα όπως αναφέρεται στον κανονισμό (ΕΕ) …/…[άρθρο 52 του ΚΚΔ], συνεισφορά που ακυρώνεται σύμφωνα με την παράγραφο 1 του παρόντος άρθρου ως αποτέλεσμα μεμονωμένων περιπτώσεων μη συμμόρφωσης μπορεί να επαναχρησιμοποιηθεί στο ίδιο χρηματοδοτικό μέσο ως εξής:</w:t>
      </w:r>
    </w:p>
    <w:p w:rsidR="00A57BFD" w:rsidRDefault="005B0D19">
      <w:pPr>
        <w:pStyle w:val="Point10"/>
        <w:rPr>
          <w:noProof/>
        </w:rPr>
      </w:pPr>
      <w:r>
        <w:rPr>
          <w:noProof/>
        </w:rPr>
        <w:t>α)</w:t>
      </w:r>
      <w:r>
        <w:rPr>
          <w:noProof/>
        </w:rPr>
        <w:tab/>
        <w:t>εάν η μη συμμόρφωση που οδήγησε στην ακύρωση της συνεισφοράς εντοπίζεται στο επίπεδο του τελικού αποδέκτη που αναφέρεται στο [άρθρο 2 σημείο 17 του ΚΚΔ] του κανονισμού (ΕΕ) …/… , μόνο για άλλους τελικούς αποδέκτες στο πλαίσιο του ίδιου χρηματοδοτικού μέσου·</w:t>
      </w:r>
    </w:p>
    <w:p w:rsidR="00A57BFD" w:rsidRDefault="005B0D19">
      <w:pPr>
        <w:pStyle w:val="Point10"/>
        <w:rPr>
          <w:noProof/>
        </w:rPr>
      </w:pPr>
      <w:r>
        <w:rPr>
          <w:noProof/>
        </w:rPr>
        <w:t>β)</w:t>
      </w:r>
      <w:r>
        <w:rPr>
          <w:noProof/>
        </w:rPr>
        <w:tab/>
        <w:t>εάν η μη συμμόρφωση που οδήγησε στην ακύρωση της συνεισφοράς εντοπίζεται στο επίπεδο του συγκεκριμένου ταμείου όπως αναφέρεται στο [άρθρο 2 σημείο 21 του ΚΚΔ] του κανονισμού (ΕΕ) …/… στο πλαίσιο ενός χαρτοφυλακίου ταμείων όπως αναφέρεται στο [άρθρο 2 σημείο 20 του ΚΚΔ] του κανονισμού (ΕΕ) …/…, μόνο για άλλα συγκεκριμένα ταμεία.</w:t>
      </w:r>
    </w:p>
    <w:p w:rsidR="00A57BFD" w:rsidRDefault="005B0D19">
      <w:pPr>
        <w:pStyle w:val="Titrearticle1"/>
        <w:rPr>
          <w:noProof/>
        </w:rPr>
      </w:pPr>
      <w:bookmarkStart w:id="102" w:name="_DV_M4455"/>
      <w:bookmarkStart w:id="103" w:name="_DV_M4456"/>
      <w:bookmarkStart w:id="104" w:name="_DV_M4457"/>
      <w:bookmarkStart w:id="105" w:name="ai4j4k3n57g"/>
      <w:bookmarkStart w:id="106" w:name="ai4j4k3n57"/>
      <w:bookmarkEnd w:id="102"/>
      <w:bookmarkEnd w:id="103"/>
      <w:bookmarkEnd w:id="104"/>
      <w:r>
        <w:rPr>
          <w:noProof/>
        </w:rPr>
        <w:t>Άρθρο 56</w:t>
      </w:r>
      <w:r>
        <w:rPr>
          <w:noProof/>
        </w:rPr>
        <w:br/>
      </w:r>
      <w:r>
        <w:rPr>
          <w:b/>
          <w:noProof/>
        </w:rPr>
        <w:t>Εκτελεστικές αρμοδιότητες</w:t>
      </w:r>
      <w:r>
        <w:rPr>
          <w:noProof/>
        </w:rPr>
        <w:t> </w:t>
      </w:r>
      <w:bookmarkEnd w:id="105"/>
    </w:p>
    <w:p w:rsidR="00A57BFD" w:rsidRDefault="005B0D19">
      <w:pPr>
        <w:rPr>
          <w:noProof/>
        </w:rPr>
      </w:pPr>
      <w:bookmarkStart w:id="107" w:name="ai4j4k3n57p2q1"/>
      <w:bookmarkStart w:id="108" w:name="ai4j4k3n57p2"/>
      <w:r>
        <w:rPr>
          <w:noProof/>
        </w:rPr>
        <w:t>Η Επιτροπή εκδίδει εκτελεστικές πράξεις που θεσπίζουν</w:t>
      </w:r>
      <w:bookmarkStart w:id="109" w:name="ai4j4k3n57p2q1ra2"/>
      <w:bookmarkStart w:id="110" w:name="ai4j4k3n57p2ra2"/>
      <w:bookmarkStart w:id="111" w:name="ai4j4k3n57p2ra2q1"/>
      <w:r>
        <w:rPr>
          <w:noProof/>
        </w:rPr>
        <w:t xml:space="preserve"> κανόνες σχετικά με τους τρόπους κοινοποίησης και ενημέρωσης από τα κράτη μέλη προς την Επιτροπή σχετικά με τις υποχρεώσεις του παρόντος τμήματος.</w:t>
      </w:r>
      <w:bookmarkEnd w:id="107"/>
      <w:bookmarkEnd w:id="109"/>
      <w:bookmarkEnd w:id="110"/>
      <w:bookmarkEnd w:id="111"/>
    </w:p>
    <w:p w:rsidR="00A57BFD" w:rsidRDefault="005B0D19">
      <w:pPr>
        <w:rPr>
          <w:noProof/>
        </w:rPr>
      </w:pPr>
      <w:bookmarkStart w:id="112" w:name="ai4j4k3n57p2q2"/>
      <w:r>
        <w:rPr>
          <w:noProof/>
        </w:rPr>
        <w:t>Οι εν λόγω εκτελεστικές πράξεις εκδίδονται σύμφωνα με τη διαδικασία εξέτασης που προβλέπεται στο άρθρο 101 παράγραφος 3.</w:t>
      </w:r>
      <w:bookmarkEnd w:id="106"/>
      <w:bookmarkEnd w:id="108"/>
      <w:bookmarkEnd w:id="112"/>
    </w:p>
    <w:p w:rsidR="00A57BFD" w:rsidRDefault="005B0D19">
      <w:pPr>
        <w:pStyle w:val="PartTitle"/>
        <w:rPr>
          <w:noProof/>
        </w:rPr>
      </w:pPr>
      <w:r>
        <w:rPr>
          <w:noProof/>
        </w:rPr>
        <w:lastRenderedPageBreak/>
        <w:t>ΤΙΤΛΟΣ IV</w:t>
      </w:r>
      <w:r>
        <w:rPr>
          <w:noProof/>
        </w:rPr>
        <w:br/>
        <w:t>Συστήματα ελέγχου και κυρώσεις</w:t>
      </w:r>
    </w:p>
    <w:p w:rsidR="00A57BFD" w:rsidRDefault="005B0D19">
      <w:pPr>
        <w:pStyle w:val="ChapterTitle0"/>
        <w:rPr>
          <w:noProof/>
        </w:rPr>
      </w:pPr>
      <w:r>
        <w:rPr>
          <w:noProof/>
        </w:rPr>
        <w:t>Κεφάλαιο Ι</w:t>
      </w:r>
      <w:r>
        <w:rPr>
          <w:noProof/>
        </w:rPr>
        <w:br/>
        <w:t xml:space="preserve">Γενικοί κανόνες </w:t>
      </w:r>
    </w:p>
    <w:p w:rsidR="00A57BFD" w:rsidRDefault="005B0D19">
      <w:pPr>
        <w:pStyle w:val="Titrearticle1"/>
        <w:rPr>
          <w:noProof/>
        </w:rPr>
      </w:pPr>
      <w:r>
        <w:rPr>
          <w:noProof/>
        </w:rPr>
        <w:t>Άρθρο 57</w:t>
      </w:r>
      <w:r>
        <w:rPr>
          <w:noProof/>
        </w:rPr>
        <w:br/>
      </w:r>
      <w:r>
        <w:rPr>
          <w:b/>
          <w:noProof/>
        </w:rPr>
        <w:t>Προστασία των οικονομικών συμφερόντων της Ένωσης</w:t>
      </w:r>
    </w:p>
    <w:p w:rsidR="00A57BFD" w:rsidRDefault="005B0D19">
      <w:pPr>
        <w:pStyle w:val="ManualNumPar1"/>
        <w:rPr>
          <w:noProof/>
        </w:rPr>
      </w:pPr>
      <w:bookmarkStart w:id="113" w:name="ai5j1n58p1"/>
      <w:bookmarkStart w:id="114" w:name="ai5j1n58p1q1"/>
      <w:r>
        <w:t>1.</w:t>
      </w:r>
      <w:r>
        <w:tab/>
      </w:r>
      <w:r>
        <w:rPr>
          <w:noProof/>
        </w:rPr>
        <w:t>Τα κράτη μέλη θεσπίζουν, στο πλαίσιο της ΚΓΠ, όλες τις νομοθετικές, κανονιστικές και διοικητικές διατάξεις και λαμβάνουν όλα τα άλλα μέτρα που είναι αναγκαία για την αποτελεσματική προστασία των οικονομικών συμφερόντων της Ένωσης. Οι εν λόγω διατάξεις και μέτρα αφορούν ιδίως:</w:t>
      </w:r>
    </w:p>
    <w:p w:rsidR="00A57BFD" w:rsidRDefault="005B0D19">
      <w:pPr>
        <w:pStyle w:val="Point10"/>
        <w:rPr>
          <w:noProof/>
        </w:rPr>
      </w:pPr>
      <w:bookmarkStart w:id="115" w:name="ai5j1n58p1q1ra1"/>
      <w:bookmarkStart w:id="116" w:name="ai5j1n58p1q1ra1q1"/>
      <w:r>
        <w:rPr>
          <w:noProof/>
        </w:rPr>
        <w:t>α)</w:t>
      </w:r>
      <w:r>
        <w:rPr>
          <w:noProof/>
        </w:rPr>
        <w:tab/>
        <w:t>την εξακρίβωση της νομιμότητας και της κανονικότητας των πράξεων που χρηματοδοτούνται από τα ταμεία·</w:t>
      </w:r>
      <w:bookmarkEnd w:id="115"/>
      <w:bookmarkEnd w:id="116"/>
    </w:p>
    <w:p w:rsidR="00A57BFD" w:rsidRDefault="005B0D19">
      <w:pPr>
        <w:pStyle w:val="Point10"/>
        <w:rPr>
          <w:noProof/>
        </w:rPr>
      </w:pPr>
      <w:bookmarkStart w:id="117" w:name="ai5j1n58p1q1ra2"/>
      <w:bookmarkStart w:id="118" w:name="ai5j1n58p1q1ra2q1"/>
      <w:r>
        <w:rPr>
          <w:noProof/>
        </w:rPr>
        <w:t>β)</w:t>
      </w:r>
      <w:r>
        <w:rPr>
          <w:noProof/>
        </w:rPr>
        <w:tab/>
        <w:t>την εξασφάλιση αποτελεσματικής πρόληψης της απάτης ιδίως όσον αφορά τους τομείς υψηλής επικινδυνότητας, που θα ενεργεί αποτρεπτικά, λαμβανομένου υπόψη του κόστους και των οφελών καθώς και της αναλογικότητας των μέτρων·</w:t>
      </w:r>
      <w:bookmarkEnd w:id="117"/>
      <w:bookmarkEnd w:id="118"/>
    </w:p>
    <w:p w:rsidR="00A57BFD" w:rsidRDefault="005B0D19">
      <w:pPr>
        <w:pStyle w:val="Point10"/>
        <w:rPr>
          <w:noProof/>
        </w:rPr>
      </w:pPr>
      <w:bookmarkStart w:id="119" w:name="ai5j1n58p1q1ra3"/>
      <w:bookmarkStart w:id="120" w:name="ai5j1n58p1q1ra3q1"/>
      <w:r>
        <w:rPr>
          <w:noProof/>
        </w:rPr>
        <w:t>γ)</w:t>
      </w:r>
      <w:r>
        <w:rPr>
          <w:noProof/>
        </w:rPr>
        <w:tab/>
        <w:t>την πρόληψη, τον εντοπισμό και τη διόρθωση των περιπτώσεων παρατυπιών και απάτης·</w:t>
      </w:r>
      <w:bookmarkEnd w:id="119"/>
      <w:bookmarkEnd w:id="120"/>
    </w:p>
    <w:p w:rsidR="00A57BFD" w:rsidRDefault="005B0D19">
      <w:pPr>
        <w:pStyle w:val="Point10"/>
        <w:rPr>
          <w:noProof/>
        </w:rPr>
      </w:pPr>
      <w:bookmarkStart w:id="121" w:name="ai5j1n58p1q1ra4"/>
      <w:bookmarkStart w:id="122" w:name="ai5j1n58p1q1ra4q1"/>
      <w:r>
        <w:rPr>
          <w:noProof/>
        </w:rPr>
        <w:t>δ)</w:t>
      </w:r>
      <w:r>
        <w:rPr>
          <w:noProof/>
        </w:rPr>
        <w:tab/>
        <w:t>την επιβολή αποτελεσματικών, αποτρεπτικών και αναλογικών κυρώσεων σύμφωνα με την ενωσιακή νομοθεσία ή, ελλείψει αυτής, με την εθνική νομοθεσία και, εφόσον κρίνεται αναγκαίο, την κίνηση νομικών διαδικασιών προς τον σκοπό αυτό·</w:t>
      </w:r>
      <w:bookmarkEnd w:id="121"/>
      <w:bookmarkEnd w:id="122"/>
    </w:p>
    <w:p w:rsidR="00A57BFD" w:rsidRDefault="005B0D19">
      <w:pPr>
        <w:pStyle w:val="Point10"/>
        <w:rPr>
          <w:noProof/>
        </w:rPr>
      </w:pPr>
      <w:bookmarkStart w:id="123" w:name="ai5j1n58p1q1ra5"/>
      <w:bookmarkStart w:id="124" w:name="ai5j1n58p1q1ra5q1"/>
      <w:r>
        <w:rPr>
          <w:noProof/>
        </w:rPr>
        <w:t>ε)</w:t>
      </w:r>
      <w:r>
        <w:rPr>
          <w:noProof/>
        </w:rPr>
        <w:tab/>
        <w:t>την ανάκτηση αχρεωστήτως καταβληθέντων ποσών εντόκως και, εφόσον κρίνεται αναγκαίο, την κίνηση νομικών διαδικασιών προς τον σκοπό αυτό.</w:t>
      </w:r>
      <w:bookmarkEnd w:id="113"/>
      <w:bookmarkEnd w:id="114"/>
      <w:bookmarkEnd w:id="123"/>
      <w:bookmarkEnd w:id="124"/>
    </w:p>
    <w:p w:rsidR="00A57BFD" w:rsidRDefault="005B0D19">
      <w:pPr>
        <w:pStyle w:val="ManualNumPar1"/>
        <w:rPr>
          <w:noProof/>
        </w:rPr>
      </w:pPr>
      <w:bookmarkStart w:id="125" w:name="ai5j1n58p2"/>
      <w:bookmarkStart w:id="126" w:name="ai5j1n58p2q1"/>
      <w:r>
        <w:t>2.</w:t>
      </w:r>
      <w:r>
        <w:tab/>
      </w:r>
      <w:r>
        <w:rPr>
          <w:noProof/>
        </w:rPr>
        <w:t>Τα κράτη μέλη εφαρμόζουν αποτελεσματικά συστήματα διαχείρισης και ελέγχου για να διασφαλίζεται η συμμόρφωση με την ενωσιακή νομοθεσία που διέπει τις ενωσιακές παρεμβάσεις.</w:t>
      </w:r>
      <w:bookmarkEnd w:id="125"/>
      <w:bookmarkEnd w:id="126"/>
    </w:p>
    <w:p w:rsidR="00A57BFD" w:rsidRDefault="005B0D19">
      <w:pPr>
        <w:pStyle w:val="ManualNumPar1"/>
        <w:rPr>
          <w:noProof/>
        </w:rPr>
      </w:pPr>
      <w:r>
        <w:t>3.</w:t>
      </w:r>
      <w:r>
        <w:tab/>
      </w:r>
      <w:r>
        <w:rPr>
          <w:noProof/>
        </w:rPr>
        <w:t xml:space="preserve">Τα κράτη μέλη λαμβάνουν τις κατάλληλες προφυλάξεις για να εξασφαλίσουν ότι οι επιβαλλόμενες κυρώσεις, όπως αναφέρεται στην παράγραφο 1 στοιχείο δ), είναι αναλογικές και διαβαθμισμένες σύμφωνα με τη σοβαρότητα, την έκταση, τη διάρκεια και την επανάληψη της διαπιστούμενης μη συμμόρφωσης. </w:t>
      </w:r>
    </w:p>
    <w:p w:rsidR="00A57BFD" w:rsidRDefault="005B0D19">
      <w:pPr>
        <w:pStyle w:val="Text1"/>
        <w:rPr>
          <w:noProof/>
        </w:rPr>
      </w:pPr>
      <w:r>
        <w:rPr>
          <w:noProof/>
        </w:rPr>
        <w:t>Οι ρυθμίσεις που θεσπίζονται από τα κράτη μέλη εξασφαλίζουν ιδίως ότι δεν επιβάλλονται κυρώσεις:</w:t>
      </w:r>
    </w:p>
    <w:p w:rsidR="00A57BFD" w:rsidRDefault="005B0D19">
      <w:pPr>
        <w:pStyle w:val="Point10"/>
        <w:rPr>
          <w:noProof/>
        </w:rPr>
      </w:pPr>
      <w:r>
        <w:rPr>
          <w:noProof/>
        </w:rPr>
        <w:t>α)</w:t>
      </w:r>
      <w:r>
        <w:rPr>
          <w:noProof/>
        </w:rPr>
        <w:tab/>
        <w:t>όταν η μη συμμόρφωση οφείλεται σε ανωτέρα βία,</w:t>
      </w:r>
    </w:p>
    <w:p w:rsidR="00A57BFD" w:rsidRDefault="005B0D19">
      <w:pPr>
        <w:pStyle w:val="Point10"/>
        <w:rPr>
          <w:noProof/>
        </w:rPr>
      </w:pPr>
      <w:r>
        <w:rPr>
          <w:noProof/>
        </w:rPr>
        <w:t>β)</w:t>
      </w:r>
      <w:r>
        <w:rPr>
          <w:noProof/>
        </w:rPr>
        <w:tab/>
        <w:t>όταν η μη συμμόρφωση οφείλεται σε σφάλμα της αρμόδιας αρχής ή άλλης αρχής και εφόσον το σφάλμα δεν μπορούσε να εντοπιστεί εύλογα από το πρόσωπο το οποίο αφορά η διοικητική κύρωση,</w:t>
      </w:r>
    </w:p>
    <w:p w:rsidR="00A57BFD" w:rsidRDefault="005B0D19">
      <w:pPr>
        <w:pStyle w:val="Point10"/>
        <w:rPr>
          <w:noProof/>
        </w:rPr>
      </w:pPr>
      <w:r>
        <w:rPr>
          <w:noProof/>
        </w:rPr>
        <w:t>γ)</w:t>
      </w:r>
      <w:r>
        <w:rPr>
          <w:noProof/>
        </w:rPr>
        <w:tab/>
        <w:t>όταν το συγκεκριμένο πρόσωπο μπορεί να πείσει την αρμόδια αρχή ότι δεν ευθύνεται για τη μη συμμόρφωση προς τις υποχρεώσεις της παραγράφου 1 ή εάν η αρμόδια αρχή πεισθεί άλλως ότι δεν ευθύνεται το συγκεκριμένο πρόσωπο.</w:t>
      </w:r>
    </w:p>
    <w:p w:rsidR="00A57BFD" w:rsidRDefault="005B0D19">
      <w:pPr>
        <w:pStyle w:val="Text1"/>
        <w:rPr>
          <w:noProof/>
        </w:rPr>
      </w:pPr>
      <w:r>
        <w:rPr>
          <w:noProof/>
        </w:rPr>
        <w:lastRenderedPageBreak/>
        <w:t>Εάν η μη συμμόρφωση με τους όρους χορήγησης της ενίσχυσης οφείλεται σε ανωτέρα βία, ο δικαιούχος διατηρεί το δικαίωμα να λάβει την ενίσχυση.</w:t>
      </w:r>
    </w:p>
    <w:p w:rsidR="00A57BFD" w:rsidRDefault="005B0D19">
      <w:pPr>
        <w:pStyle w:val="ManualNumPar1"/>
        <w:rPr>
          <w:rFonts w:eastAsia="Times New Roman"/>
          <w:noProof/>
          <w:szCs w:val="24"/>
        </w:rPr>
      </w:pPr>
      <w:r>
        <w:t>4.</w:t>
      </w:r>
      <w:r>
        <w:tab/>
      </w:r>
      <w:r>
        <w:rPr>
          <w:noProof/>
        </w:rPr>
        <w:t>Τα κράτη μέλη θεσπίζουν ρυθμίσεις για την αποτελεσματική εξέταση των καταγγελιών σχετικά με τα ταμεία και, κατόπιν αιτήματος της Επιτροπής, εξετάζουν τις καταγγελίες που υποβάλλονται στην Επιτροπή και εμπίπτουν στο πεδίο εφαρμογής του στρατηγικού τους σχεδίου για την ΚΓΠ. Τα κράτη μέλη ενημερώνουν την Επιτροπή για τα αποτελέσματα αυτών των εξετάσεων.</w:t>
      </w:r>
    </w:p>
    <w:p w:rsidR="00A57BFD" w:rsidRDefault="005B0D19">
      <w:pPr>
        <w:pStyle w:val="ManualNumPar1"/>
        <w:rPr>
          <w:noProof/>
        </w:rPr>
      </w:pPr>
      <w:bookmarkStart w:id="127" w:name="ai5j1n58p3q1"/>
      <w:bookmarkStart w:id="128" w:name="ai5j1n58p3"/>
      <w:r>
        <w:t>5.</w:t>
      </w:r>
      <w:r>
        <w:tab/>
      </w:r>
      <w:r>
        <w:rPr>
          <w:noProof/>
        </w:rPr>
        <w:t>Τα κράτη μέλη ανακοινώνουν στην Επιτροπή τις διατάξεις που θέσπισαν και τα μέτρα που έλαβαν κατ’ εφαρμογή των παραγράφων 1 και 2.</w:t>
      </w:r>
      <w:bookmarkEnd w:id="127"/>
    </w:p>
    <w:p w:rsidR="00A57BFD" w:rsidRDefault="005B0D19">
      <w:pPr>
        <w:pStyle w:val="Text1"/>
        <w:rPr>
          <w:noProof/>
        </w:rPr>
      </w:pPr>
      <w:bookmarkStart w:id="129" w:name="ai5j1n58p3q2"/>
      <w:r>
        <w:rPr>
          <w:noProof/>
        </w:rPr>
        <w:t>Κάθε όρος που καθορίζεται από τα κράτη μέλη προς συμπλήρωση των όρων που προβλέπονται στους ενωσιακούς κανόνες για τη χορήγηση στήριξης χρηματοδοτούμενης από το ΕΓΤΕ ή το ΕΓΤΑΑ πρέπει να είναι δυνατόν να εξακριβωθεί.</w:t>
      </w:r>
      <w:bookmarkEnd w:id="128"/>
      <w:bookmarkEnd w:id="129"/>
    </w:p>
    <w:p w:rsidR="00A57BFD" w:rsidRDefault="005B0D19">
      <w:pPr>
        <w:pStyle w:val="ManualNumPar1"/>
        <w:rPr>
          <w:noProof/>
        </w:rPr>
      </w:pPr>
      <w:bookmarkStart w:id="130" w:name="ai5j1n58p4q1"/>
      <w:bookmarkStart w:id="131" w:name="ai5j1n58p4"/>
      <w:r>
        <w:t>6.</w:t>
      </w:r>
      <w:r>
        <w:tab/>
      </w:r>
      <w:r>
        <w:rPr>
          <w:noProof/>
        </w:rPr>
        <w:t>Η Επιτροπή δύναται να εκδίδει εκτελεστικές πράξεις για τον καθορισμό των αναγκαίων κανόνων που αποσκοπούν στην ενιαία εφαρμογή του παρόντος άρθρου και αφορούν τα εξής:</w:t>
      </w:r>
    </w:p>
    <w:p w:rsidR="00A57BFD" w:rsidRDefault="005B0D19">
      <w:pPr>
        <w:pStyle w:val="Point10"/>
        <w:rPr>
          <w:noProof/>
        </w:rPr>
      </w:pPr>
      <w:bookmarkStart w:id="132" w:name="ai5j1n58p4q1ra1"/>
      <w:bookmarkStart w:id="133" w:name="ai5j1n58p4q1ra1q1"/>
      <w:r>
        <w:rPr>
          <w:noProof/>
        </w:rPr>
        <w:t>α)</w:t>
      </w:r>
      <w:r>
        <w:rPr>
          <w:noProof/>
        </w:rPr>
        <w:tab/>
        <w:t>τις διαδικασίες, τις προθεσμίες και την ανταλλαγή πληροφοριών σχετικά με τις υποχρεώσεις των παραγράφων 1 και 2,</w:t>
      </w:r>
      <w:bookmarkEnd w:id="132"/>
      <w:bookmarkEnd w:id="133"/>
    </w:p>
    <w:p w:rsidR="00A57BFD" w:rsidRDefault="005B0D19">
      <w:pPr>
        <w:pStyle w:val="Point10"/>
        <w:rPr>
          <w:noProof/>
        </w:rPr>
      </w:pPr>
      <w:bookmarkStart w:id="134" w:name="ai5j1n58p4q1ra2"/>
      <w:bookmarkStart w:id="135" w:name="ai5j1n58p4q1ra2q1"/>
      <w:r>
        <w:rPr>
          <w:noProof/>
        </w:rPr>
        <w:t>β)</w:t>
      </w:r>
      <w:r>
        <w:rPr>
          <w:noProof/>
        </w:rPr>
        <w:tab/>
        <w:t>την κοινοποίηση και την ενημέρωση από τα κράτη μέλη προς την Επιτροπή σχετικά με τις υποχρεώσεις που προβλέπονται στις παραγράφους 3 και 4.</w:t>
      </w:r>
      <w:bookmarkEnd w:id="130"/>
      <w:bookmarkEnd w:id="134"/>
      <w:bookmarkEnd w:id="135"/>
    </w:p>
    <w:p w:rsidR="00A57BFD" w:rsidRDefault="005B0D19">
      <w:pPr>
        <w:pStyle w:val="Text1"/>
        <w:rPr>
          <w:noProof/>
        </w:rPr>
      </w:pPr>
      <w:bookmarkStart w:id="136" w:name="ai5j1n58p4q2"/>
      <w:r>
        <w:rPr>
          <w:noProof/>
        </w:rPr>
        <w:t>Οι εν λόγω εκτελεστικές πράξεις εκδίδονται σύμφωνα με τη διαδικασία εξέτασης που προβλέπεται στο άρθρο</w:t>
      </w:r>
      <w:bookmarkEnd w:id="131"/>
      <w:bookmarkEnd w:id="136"/>
      <w:r>
        <w:rPr>
          <w:noProof/>
        </w:rPr>
        <w:t> 101 παράγραφος 3.</w:t>
      </w:r>
    </w:p>
    <w:p w:rsidR="00A57BFD" w:rsidRDefault="005B0D19">
      <w:pPr>
        <w:pStyle w:val="Titrearticle1"/>
        <w:rPr>
          <w:noProof/>
        </w:rPr>
      </w:pPr>
      <w:r>
        <w:rPr>
          <w:noProof/>
        </w:rPr>
        <w:t>Άρθρο 58</w:t>
      </w:r>
      <w:r>
        <w:rPr>
          <w:noProof/>
        </w:rPr>
        <w:br/>
      </w:r>
      <w:r>
        <w:rPr>
          <w:b/>
          <w:noProof/>
        </w:rPr>
        <w:t>Κανόνες σχετικά με τους ελέγχους που πρέπει να διεξάγονται</w:t>
      </w:r>
    </w:p>
    <w:p w:rsidR="00A57BFD" w:rsidRDefault="005B0D19">
      <w:pPr>
        <w:pStyle w:val="ManualNumPar1"/>
        <w:rPr>
          <w:noProof/>
        </w:rPr>
      </w:pPr>
      <w:r>
        <w:t>1.</w:t>
      </w:r>
      <w:r>
        <w:tab/>
      </w:r>
      <w:r>
        <w:rPr>
          <w:noProof/>
        </w:rPr>
        <w:t>Το σύστημα που έχουν θεσπίσει τα κράτη μέλη σύμφωνα με το άρθρο 57 παράγραφος 2 περιλαμβάνει συστηματικούς ελέγχους οι οποίοι στοχεύουν επίσης στους τομείς όπου ο κίνδυνος σφαλμάτων είναι ο υψηλότερος.</w:t>
      </w:r>
    </w:p>
    <w:p w:rsidR="00A57BFD" w:rsidRDefault="005B0D19">
      <w:pPr>
        <w:pStyle w:val="Text1"/>
        <w:rPr>
          <w:noProof/>
        </w:rPr>
      </w:pPr>
      <w:r>
        <w:rPr>
          <w:noProof/>
        </w:rPr>
        <w:t>Τα κράτη μέλη διασφαλίζουν το επίπεδο ελέγχων που απαιτείται για την αποτελεσματική διαχείριση των κινδύνων.</w:t>
      </w:r>
    </w:p>
    <w:p w:rsidR="00A57BFD" w:rsidRDefault="005B0D19">
      <w:pPr>
        <w:pStyle w:val="ManualNumPar1"/>
        <w:rPr>
          <w:noProof/>
        </w:rPr>
      </w:pPr>
      <w:r>
        <w:t>2.</w:t>
      </w:r>
      <w:r>
        <w:tab/>
      </w:r>
      <w:r>
        <w:rPr>
          <w:noProof/>
        </w:rPr>
        <w:t>Οι έλεγχοι των πράξεων που λαμβάνουν ενίσχυση από χρηματοδοτικά μέσα, όπως αναφέρεται στο [άρθρο 52 ΚΚΔ] του κανονισμού [ΕΕ] …/… , διεξάγονται μόνο στο επίπεδο των φορέων που εφαρμόζουν χρηματοδοτικά μέσα.</w:t>
      </w:r>
    </w:p>
    <w:p w:rsidR="00A57BFD" w:rsidRDefault="005B0D19">
      <w:pPr>
        <w:pStyle w:val="Text1"/>
        <w:rPr>
          <w:noProof/>
        </w:rPr>
      </w:pPr>
      <w:r>
        <w:rPr>
          <w:noProof/>
        </w:rPr>
        <w:t xml:space="preserve">Οι έλεγχοι δεν διεξάγονται στο επίπεδο της ΕΤΕπ ή άλλων διεθνών χρηματοδοτικών ιδρυμάτων στα οποία ένα κράτος μέλος είναι μέτοχος. </w:t>
      </w:r>
    </w:p>
    <w:p w:rsidR="00A57BFD" w:rsidRDefault="005B0D19">
      <w:pPr>
        <w:pStyle w:val="ManualNumPar1"/>
        <w:rPr>
          <w:noProof/>
        </w:rPr>
      </w:pPr>
      <w:r>
        <w:t>3.</w:t>
      </w:r>
      <w:r>
        <w:tab/>
      </w:r>
      <w:r>
        <w:rPr>
          <w:noProof/>
        </w:rPr>
        <w:t>Η Επιτροπή εξουσιοδοτείται να εκδίδει κατ’ εξουσιοδότηση πράξεις σύμφωνα με το άρθρο 100 προκειμένου να συμπληρώσει τον παρόντα κανονισμό με κανόνες, εφόσον το απαιτεί η ορθή διαχείριση του εν λόγω συστήματος, οι οποίοι αφορούν συμπληρωματικές απαιτήσεις σε σχέση με τα τελωνειακά καθεστώτα, και ιδίως εκείνα που προβλέπονται στον κανονισμό (ΕΕ) αριθ. 952/2013 του Ευρωπαϊκού Κοινοβουλίου και του Συμβουλίου.</w:t>
      </w:r>
    </w:p>
    <w:p w:rsidR="00A57BFD" w:rsidRDefault="005B0D19">
      <w:pPr>
        <w:pStyle w:val="ManualNumPar1"/>
        <w:rPr>
          <w:noProof/>
        </w:rPr>
      </w:pPr>
      <w:r>
        <w:t>4.</w:t>
      </w:r>
      <w:r>
        <w:tab/>
      </w:r>
      <w:r>
        <w:rPr>
          <w:noProof/>
        </w:rPr>
        <w:t>Όσον αφορά τα μέτρα που αναφέρονται στην τομεακή γεωργική νομοθεσία, εκτός από τον κανονισμό (ΕΕ) …/… [κανονισμό για το στρατηγικό σχέδιο της ΚΓΠ], η Επιτροπή εκδίδει εκτελεστικές πράξεις για τον καθορισμό των αναγκαίων κανόνων για την ενιαία εφαρμογή του παρόντος άρθρου, και ιδίως:</w:t>
      </w:r>
    </w:p>
    <w:p w:rsidR="00A57BFD" w:rsidRDefault="005B0D19">
      <w:pPr>
        <w:pStyle w:val="Point10"/>
        <w:rPr>
          <w:noProof/>
        </w:rPr>
      </w:pPr>
      <w:r>
        <w:rPr>
          <w:noProof/>
        </w:rPr>
        <w:lastRenderedPageBreak/>
        <w:t>α)</w:t>
      </w:r>
      <w:r>
        <w:rPr>
          <w:noProof/>
        </w:rPr>
        <w:tab/>
        <w:t>όσον αφορά την κάνναβη που αναφέρεται στο άρθρο 4 στοιχείο γ) του κανονισμού (ΕΕ) …/… [κανονισμός για το στρατηγικό σχέδιο της ΚΓΠ], των κανόνων για τα ειδικά μέτρα ελέγχου και τις μεθόδους προσδιορισμού των επιπέδων τετραϋδροκανναβινόλης·</w:t>
      </w:r>
    </w:p>
    <w:p w:rsidR="00A57BFD" w:rsidRDefault="005B0D19">
      <w:pPr>
        <w:pStyle w:val="Point10"/>
        <w:rPr>
          <w:noProof/>
        </w:rPr>
      </w:pPr>
      <w:r>
        <w:rPr>
          <w:noProof/>
        </w:rPr>
        <w:t>β)</w:t>
      </w:r>
      <w:r>
        <w:rPr>
          <w:noProof/>
        </w:rPr>
        <w:tab/>
        <w:t>όσον αφορά το βαμβάκι που αναφέρεται στον τίτλο ΙΙΙ κεφάλαιο 2 τμήμα 2 υποτμήμα 2 του κανονισμού (ΕΕ) …/… [κανονισμός για το στρατηγικό σχέδιο της ΚΓΠ], συστήματος ελέγχων των εγκεκριμένων διεπαγγελματικών οργανώσεων·</w:t>
      </w:r>
    </w:p>
    <w:p w:rsidR="00A57BFD" w:rsidRDefault="005B0D19">
      <w:pPr>
        <w:pStyle w:val="Point10"/>
        <w:rPr>
          <w:noProof/>
        </w:rPr>
      </w:pPr>
      <w:r>
        <w:rPr>
          <w:noProof/>
        </w:rPr>
        <w:t>γ)</w:t>
      </w:r>
      <w:r>
        <w:rPr>
          <w:noProof/>
        </w:rPr>
        <w:tab/>
        <w:t>όσον αφορά τον οίνο που αναφέρεται στον κανονισμό (ΕΕ) αριθ. 1308/2013, κανόνων για τη μέτρηση των εκτάσεων καθώς και για τους ελέγχους και κανόνων που διέπουν τις ειδικές δημοσιονομικές διαδικασίες για τη βελτίωση των ελέγχων·</w:t>
      </w:r>
    </w:p>
    <w:p w:rsidR="00A57BFD" w:rsidRDefault="005B0D19">
      <w:pPr>
        <w:pStyle w:val="Point10"/>
        <w:rPr>
          <w:noProof/>
        </w:rPr>
      </w:pPr>
      <w:r>
        <w:rPr>
          <w:noProof/>
        </w:rPr>
        <w:t>δ)</w:t>
      </w:r>
      <w:r>
        <w:rPr>
          <w:noProof/>
        </w:rPr>
        <w:tab/>
        <w:t>των δοκιμών και των μεθόδων που πρέπει να εφαρμόζονται για τη διαπίστωση της επιλεξιμότητας προϊόντων για δημόσια παρέμβαση και ιδιωτική αποθεματοποίηση, καθώς και της διεξαγωγής διαγωνισμών τόσο για δημόσια παρέμβαση όσο και για ιδιωτική αποθεματοποίηση·</w:t>
      </w:r>
    </w:p>
    <w:p w:rsidR="00A57BFD" w:rsidRDefault="005B0D19">
      <w:pPr>
        <w:pStyle w:val="Point10"/>
        <w:rPr>
          <w:noProof/>
        </w:rPr>
      </w:pPr>
      <w:r>
        <w:rPr>
          <w:noProof/>
        </w:rPr>
        <w:t>ε)</w:t>
      </w:r>
      <w:r>
        <w:rPr>
          <w:noProof/>
        </w:rPr>
        <w:tab/>
        <w:t>άλλων κανόνων σχετικά με τους ελέγχους που πρέπει να διενεργούνται από τα κράτη μέλη, όσον αφορά τα μέτρα που προβλέπονται στο κεφάλαιο IV του κανονισμού (ΕΕ) αριθ. 228/2013 και στο κεφάλαιο IV του κανονισμού (ΕΕ) αριθ. 229/2013 αντίστοιχα.</w:t>
      </w:r>
    </w:p>
    <w:p w:rsidR="00A57BFD" w:rsidRDefault="005B0D19">
      <w:pPr>
        <w:pStyle w:val="Text1"/>
        <w:rPr>
          <w:noProof/>
        </w:rPr>
      </w:pPr>
      <w:r>
        <w:rPr>
          <w:noProof/>
        </w:rPr>
        <w:t>Οι εν λόγω εκτελεστικές πράξεις εκδίδονται σύμφωνα με τη διαδικασία εξέτασης που προβλέπεται στο άρθρο 101 παράγραφος 3.</w:t>
      </w:r>
    </w:p>
    <w:p w:rsidR="00A57BFD" w:rsidRDefault="005B0D19">
      <w:pPr>
        <w:pStyle w:val="Titrearticle1"/>
        <w:rPr>
          <w:b/>
          <w:noProof/>
        </w:rPr>
      </w:pPr>
      <w:r>
        <w:rPr>
          <w:noProof/>
        </w:rPr>
        <w:t>Άρθρο 59</w:t>
      </w:r>
      <w:r>
        <w:rPr>
          <w:noProof/>
        </w:rPr>
        <w:br/>
      </w:r>
      <w:r>
        <w:rPr>
          <w:b/>
          <w:noProof/>
        </w:rPr>
        <w:t>Μη συμμόρφωση με τους κανόνες για τις δημόσιες προμήθειες</w:t>
      </w:r>
    </w:p>
    <w:p w:rsidR="00A57BFD" w:rsidRDefault="005B0D19">
      <w:pPr>
        <w:rPr>
          <w:noProof/>
        </w:rPr>
      </w:pPr>
      <w:bookmarkStart w:id="137" w:name="v5g19i19w"/>
      <w:bookmarkStart w:id="138" w:name="ai5j1n63p1q2"/>
      <w:r>
        <w:rPr>
          <w:noProof/>
        </w:rPr>
        <w:t xml:space="preserve">Σε περίπτωση που η μη συμμόρφωση αφορά εθνικούς ή ενωσιακούς κανόνες σχετικά με τις δημόσιες προμήθειες, τα κράτη μέλη εξασφαλίζουν ότι μέρος της ενίσχυσης που δεν καταβάλλεται ή ανακαλείται προσδιορίζεται βάσει της σοβαρότητας της μη συμμόρφωσης και σύμφωνα με την αρχή της αναλογικότητας. </w:t>
      </w:r>
    </w:p>
    <w:p w:rsidR="00A57BFD" w:rsidRDefault="005B0D19">
      <w:pPr>
        <w:rPr>
          <w:i/>
          <w:noProof/>
        </w:rPr>
      </w:pPr>
      <w:r>
        <w:rPr>
          <w:noProof/>
        </w:rPr>
        <w:t>Τα κράτη μέλη μεριμνούν ώστε η νομιμότητα και η κανονικότητα της συναλλαγής να επηρεάζονται μόνον έως το επίπεδο του μέρους της ενίσχυσης που δεν καταβάλλεται ή ανακαλείται.</w:t>
      </w:r>
      <w:bookmarkEnd w:id="137"/>
      <w:bookmarkEnd w:id="138"/>
    </w:p>
    <w:p w:rsidR="00A57BFD" w:rsidRDefault="005B0D19">
      <w:pPr>
        <w:pStyle w:val="Titrearticle1"/>
        <w:rPr>
          <w:noProof/>
        </w:rPr>
      </w:pPr>
      <w:bookmarkStart w:id="139" w:name="ai5j1n60g"/>
      <w:bookmarkStart w:id="140" w:name="ai5j1n60"/>
      <w:r>
        <w:rPr>
          <w:noProof/>
        </w:rPr>
        <w:t>Άρθρο 60</w:t>
      </w:r>
      <w:r>
        <w:rPr>
          <w:noProof/>
        </w:rPr>
        <w:br/>
      </w:r>
      <w:r>
        <w:rPr>
          <w:b/>
          <w:noProof/>
        </w:rPr>
        <w:t>Ρήτρα καταστρατήγησης</w:t>
      </w:r>
      <w:r>
        <w:rPr>
          <w:noProof/>
        </w:rPr>
        <w:t> </w:t>
      </w:r>
    </w:p>
    <w:p w:rsidR="00A57BFD" w:rsidRDefault="005B0D19">
      <w:pPr>
        <w:rPr>
          <w:noProof/>
        </w:rPr>
      </w:pPr>
      <w:bookmarkStart w:id="141" w:name="ai5j1n60q1"/>
      <w:bookmarkEnd w:id="139"/>
      <w:r>
        <w:rPr>
          <w:noProof/>
        </w:rPr>
        <w:t>Με την επιφύλαξη ειδικών διατάξεων, τα κράτη μέλη λαμβάνουν αποτελεσματικά και αναλογικά μέτρα για να αποφευχθεί η καταστρατήγηση των διατάξεων του δικαίου της Ένωσης και ιδίως διασφαλίζουν ότι τα πλεονεκτήματα που προβλέπονται δυνάμει της τομεακής γεωργικής νομοθεσίας δεν παρέχονται σε φυσικά ή νομικά πρόσωπα για τα οποία διαπιστώνεται ότι δημιούργησαν τεχνητά τις προϋποθέσεις για την απόκτηση των πλεονεκτημάτων αυτών, αντίθετα με τους σκοπούς της νομοθεσίας αυτής.</w:t>
      </w:r>
      <w:bookmarkEnd w:id="140"/>
      <w:bookmarkEnd w:id="141"/>
    </w:p>
    <w:p w:rsidR="00A57BFD" w:rsidRDefault="005B0D19">
      <w:pPr>
        <w:pStyle w:val="Titrearticle1"/>
        <w:rPr>
          <w:b/>
          <w:noProof/>
        </w:rPr>
      </w:pPr>
      <w:r>
        <w:rPr>
          <w:noProof/>
        </w:rPr>
        <w:t>Άρθρο 61</w:t>
      </w:r>
      <w:r>
        <w:rPr>
          <w:noProof/>
        </w:rPr>
        <w:br/>
      </w:r>
      <w:r>
        <w:rPr>
          <w:b/>
          <w:noProof/>
        </w:rPr>
        <w:t>Συμβατότητα των παρεμβάσεων για τους σκοπούς των ελέγχων στον αμπελοοινικό τομέα</w:t>
      </w:r>
    </w:p>
    <w:p w:rsidR="00A57BFD" w:rsidRDefault="005B0D19">
      <w:pPr>
        <w:spacing w:before="0" w:after="0"/>
        <w:jc w:val="left"/>
        <w:rPr>
          <w:rFonts w:eastAsia="Times New Roman"/>
          <w:noProof/>
          <w:szCs w:val="24"/>
        </w:rPr>
      </w:pPr>
      <w:r>
        <w:rPr>
          <w:noProof/>
        </w:rPr>
        <w:t xml:space="preserve">Για τους σκοπούς της εφαρμογής των παρεμβάσεων στον αμπελοοινικό τομέα που αναφέρονται στον κανονισμό (ΕΕ)…/… [κανονισμός για το στρατηγικό σχέδιο της ΚΓΠ], τα </w:t>
      </w:r>
      <w:r>
        <w:rPr>
          <w:noProof/>
        </w:rPr>
        <w:lastRenderedPageBreak/>
        <w:t>κράτη μέλη εξασφαλίζουν ότι οι διαδικασίες διαχείρισης και ελέγχου που εφαρμόζονται στις παρεμβάσεις αυτές είναι σύμφωνες με το ολοκληρωμένο σύστημα που αναφέρεται στο κεφάλαιο ΙΙ του παρόντος τίτλου όσον αφορά τα ακόλουθα στοιχεία:</w:t>
      </w:r>
    </w:p>
    <w:p w:rsidR="00A57BFD" w:rsidRDefault="005B0D19">
      <w:pPr>
        <w:pStyle w:val="Point0"/>
        <w:rPr>
          <w:noProof/>
        </w:rPr>
      </w:pPr>
      <w:bookmarkStart w:id="142" w:name="ai5j1n61q1ra2"/>
      <w:bookmarkStart w:id="143" w:name="ai5j1n61q1ra2q1"/>
      <w:r>
        <w:rPr>
          <w:noProof/>
        </w:rPr>
        <w:t>α)</w:t>
      </w:r>
      <w:r>
        <w:rPr>
          <w:noProof/>
        </w:rPr>
        <w:tab/>
        <w:t>τα συστήματα αναγνώρισης αγροτεμαχίων,</w:t>
      </w:r>
      <w:bookmarkEnd w:id="142"/>
      <w:bookmarkEnd w:id="143"/>
    </w:p>
    <w:p w:rsidR="00A57BFD" w:rsidRDefault="005B0D19">
      <w:pPr>
        <w:pStyle w:val="Point0"/>
        <w:rPr>
          <w:noProof/>
        </w:rPr>
      </w:pPr>
      <w:bookmarkStart w:id="144" w:name="ai5j1n61q1ra3"/>
      <w:bookmarkStart w:id="145" w:name="ai5j1n61q1ra3q1"/>
      <w:r>
        <w:rPr>
          <w:noProof/>
        </w:rPr>
        <w:t>β)</w:t>
      </w:r>
      <w:r>
        <w:rPr>
          <w:noProof/>
        </w:rPr>
        <w:tab/>
        <w:t>τους ελέγχους.</w:t>
      </w:r>
      <w:bookmarkEnd w:id="144"/>
      <w:bookmarkEnd w:id="145"/>
    </w:p>
    <w:p w:rsidR="00A57BFD" w:rsidRDefault="005B0D19">
      <w:pPr>
        <w:pStyle w:val="Titrearticle1"/>
        <w:rPr>
          <w:noProof/>
        </w:rPr>
      </w:pPr>
      <w:r>
        <w:rPr>
          <w:noProof/>
        </w:rPr>
        <w:t>Άρθρο 62</w:t>
      </w:r>
      <w:r>
        <w:rPr>
          <w:noProof/>
        </w:rPr>
        <w:br/>
      </w:r>
      <w:r>
        <w:rPr>
          <w:b/>
          <w:noProof/>
        </w:rPr>
        <w:t>Εγγυήσεις</w:t>
      </w:r>
    </w:p>
    <w:p w:rsidR="00A57BFD" w:rsidRDefault="005B0D19">
      <w:pPr>
        <w:pStyle w:val="ManualNumPar1"/>
        <w:rPr>
          <w:noProof/>
        </w:rPr>
      </w:pPr>
      <w:bookmarkStart w:id="146" w:name="ai5j1n66p1"/>
      <w:bookmarkStart w:id="147" w:name="ai5j1n66p1q1"/>
      <w:r>
        <w:t>1.</w:t>
      </w:r>
      <w:r>
        <w:tab/>
      </w:r>
      <w:r>
        <w:rPr>
          <w:noProof/>
        </w:rPr>
        <w:t>Εφόσον προβλέπεται από την τομεακή γεωργική νομοθεσία, τα κράτη μέλη ζητούν τη σύσταση εγγύησης με την οποία εξασφαλίζεται η καταβολή ή η κατάπτωση χρηματικού ποσού υπέρ της αρμόδιας αρχής αν δεν τηρηθεί συγκεκριμένη υποχρέωση δυνάμει της τομεακής γεωργικής νομοθεσίας.</w:t>
      </w:r>
      <w:bookmarkEnd w:id="146"/>
      <w:bookmarkEnd w:id="147"/>
    </w:p>
    <w:p w:rsidR="00A57BFD" w:rsidRDefault="005B0D19">
      <w:pPr>
        <w:pStyle w:val="ManualNumPar1"/>
        <w:rPr>
          <w:noProof/>
        </w:rPr>
      </w:pPr>
      <w:bookmarkStart w:id="148" w:name="ai5j1n66p2"/>
      <w:bookmarkStart w:id="149" w:name="ai5j1n66p2q1"/>
      <w:r>
        <w:t>2.</w:t>
      </w:r>
      <w:r>
        <w:tab/>
      </w:r>
      <w:r>
        <w:rPr>
          <w:noProof/>
        </w:rPr>
        <w:t>Εκτός από περιπτώσεις ανωτέρας βίας, η εγγύηση καταπίπτει εν όλω ή εν μέρει εάν δεν τηρηθεί μια συγκεκριμένη υποχρέωση ή εάν τηρηθεί μόνο εν μέρει.</w:t>
      </w:r>
      <w:bookmarkEnd w:id="148"/>
      <w:bookmarkEnd w:id="149"/>
    </w:p>
    <w:p w:rsidR="00A57BFD" w:rsidRDefault="005B0D19">
      <w:pPr>
        <w:pStyle w:val="ManualNumPar1"/>
        <w:rPr>
          <w:noProof/>
        </w:rPr>
      </w:pPr>
      <w:bookmarkStart w:id="150" w:name="ai5j1n66p3"/>
      <w:bookmarkStart w:id="151" w:name="ai5j1n66p3q1"/>
      <w:r>
        <w:t>3.</w:t>
      </w:r>
      <w:r>
        <w:tab/>
      </w:r>
      <w:r>
        <w:rPr>
          <w:noProof/>
        </w:rPr>
        <w:t>Ανατίθεται στην Επιτροπή η εξουσία να εκδίδει κατ’ εξουσιοδότηση πράξεις σύμφωνα με το άρθρο 100 με σκοπό τη συμπλήρωση του παρόντος κανονισμού με κανόνες:</w:t>
      </w:r>
    </w:p>
    <w:p w:rsidR="00A57BFD" w:rsidRDefault="005B0D19">
      <w:pPr>
        <w:pStyle w:val="Point10"/>
        <w:rPr>
          <w:noProof/>
        </w:rPr>
      </w:pPr>
      <w:r>
        <w:rPr>
          <w:noProof/>
        </w:rPr>
        <w:t>α)</w:t>
      </w:r>
      <w:r>
        <w:rPr>
          <w:noProof/>
        </w:rPr>
        <w:tab/>
        <w:t>που εξασφαλίζουν μεταχείριση χωρίς διακρίσεις, ισότητα και τήρηση της αναλογικότητας κατά τη σύσταση εγγύησης·</w:t>
      </w:r>
    </w:p>
    <w:p w:rsidR="00A57BFD" w:rsidRDefault="005B0D19">
      <w:pPr>
        <w:pStyle w:val="Point10"/>
        <w:rPr>
          <w:noProof/>
        </w:rPr>
      </w:pPr>
      <w:bookmarkStart w:id="152" w:name="ai5j1n66p3q1ra1"/>
      <w:bookmarkStart w:id="153" w:name="ai5j1n66p3q1ra1q1"/>
      <w:r>
        <w:rPr>
          <w:noProof/>
        </w:rPr>
        <w:t>β)</w:t>
      </w:r>
      <w:r>
        <w:rPr>
          <w:noProof/>
        </w:rPr>
        <w:tab/>
        <w:t>για τον προσδιορισμό του υπεύθυνου μέρους στην περίπτωση μη τήρησης μιας υποχρέωσης·</w:t>
      </w:r>
      <w:bookmarkEnd w:id="152"/>
      <w:bookmarkEnd w:id="153"/>
    </w:p>
    <w:p w:rsidR="00A57BFD" w:rsidRDefault="005B0D19">
      <w:pPr>
        <w:pStyle w:val="Point10"/>
        <w:rPr>
          <w:noProof/>
        </w:rPr>
      </w:pPr>
      <w:bookmarkStart w:id="154" w:name="ai5j1n66p3q1ra2"/>
      <w:bookmarkStart w:id="155" w:name="ai5j1n66p3q1ra2q1"/>
      <w:r>
        <w:rPr>
          <w:noProof/>
        </w:rPr>
        <w:t>γ)</w:t>
      </w:r>
      <w:r>
        <w:rPr>
          <w:noProof/>
        </w:rPr>
        <w:tab/>
        <w:t>για τον καθορισμό συγκεκριμένων καταστάσεων στις οποίες η αρμόδια αρχή δεν απαιτεί τη σύσταση εγγύησης·</w:t>
      </w:r>
      <w:bookmarkEnd w:id="154"/>
      <w:bookmarkEnd w:id="155"/>
    </w:p>
    <w:p w:rsidR="00A57BFD" w:rsidRDefault="005B0D19">
      <w:pPr>
        <w:pStyle w:val="Point10"/>
        <w:rPr>
          <w:noProof/>
        </w:rPr>
      </w:pPr>
      <w:bookmarkStart w:id="156" w:name="ai5j1n66p3q1ra3"/>
      <w:bookmarkStart w:id="157" w:name="ai5j1n66p3q1ra3q1"/>
      <w:r>
        <w:rPr>
          <w:noProof/>
        </w:rPr>
        <w:t>δ)</w:t>
      </w:r>
      <w:r>
        <w:rPr>
          <w:noProof/>
        </w:rPr>
        <w:tab/>
        <w:t>για τη θέσπιση των όρων που εφαρμόζονται στην προς σύσταση εγγύηση και τον εγγυητή, καθώς και των όρων για τη σύσταση και την αποδέσμευση της εγγύησης·</w:t>
      </w:r>
      <w:bookmarkEnd w:id="156"/>
      <w:bookmarkEnd w:id="157"/>
    </w:p>
    <w:p w:rsidR="00A57BFD" w:rsidRDefault="005B0D19">
      <w:pPr>
        <w:pStyle w:val="Point10"/>
        <w:rPr>
          <w:noProof/>
        </w:rPr>
      </w:pPr>
      <w:bookmarkStart w:id="158" w:name="ai5j1n66p3q1ra4"/>
      <w:bookmarkStart w:id="159" w:name="ai5j1n66p3q1ra4q1"/>
      <w:r>
        <w:rPr>
          <w:noProof/>
        </w:rPr>
        <w:t>ε)</w:t>
      </w:r>
      <w:r>
        <w:rPr>
          <w:noProof/>
        </w:rPr>
        <w:tab/>
        <w:t>για τη θέσπιση των ειδικών όρων που εφαρμόζονται στη συσταθείσα εγγύηση στο πλαίσιο προκαταβολών·</w:t>
      </w:r>
      <w:bookmarkEnd w:id="158"/>
      <w:bookmarkEnd w:id="159"/>
    </w:p>
    <w:p w:rsidR="00A57BFD" w:rsidRDefault="005B0D19">
      <w:pPr>
        <w:pStyle w:val="Point10"/>
        <w:rPr>
          <w:noProof/>
        </w:rPr>
      </w:pPr>
      <w:bookmarkStart w:id="160" w:name="ai5j1n66p3q1ra5"/>
      <w:bookmarkStart w:id="161" w:name="ai5j1n66p3q1ra5q1"/>
      <w:r>
        <w:rPr>
          <w:noProof/>
        </w:rPr>
        <w:t>στ)</w:t>
      </w:r>
      <w:r>
        <w:rPr>
          <w:noProof/>
        </w:rPr>
        <w:tab/>
        <w:t>για τον καθορισμό των συνεπειών της παράβασης των υποχρεώσεων για τις οποίες έχει συσταθεί εγγύηση, κατά τα προβλεπόμενα στην παράγραφο 1, όπως, μεταξύ άλλων, η κατάπτωση των εγγυήσεων, το ποσοστό μείωσης που ισχύει κατά την αποδέσμευση εγγυήσεων για επιστροφές, άδειες, προσφορές, συμμετοχή σε διαγωνισμούς ή συγκεκριμένες αιτήσεις και όταν δεν έχει τηρηθεί εν μέρει ή εξ ολοκλήρου μια υποχρέωση που καλύπτεται από τις εν λόγω εγγυήσεις, λαμβανομένης υπόψη της φύσης της υποχρέωσης, της ποσότητας που αφορά η παράβαση της υποχρέωσης, της διάρκειας της υπέρβασης της προθεσμίας εντός της οποίας θα έπρεπε να είχε εκπληρωθεί η υποχρέωση και του χρονικού σημείου κατάθεσης των στοιχείων που αποδεικνύουν την εκπλήρωση της υποχρέωσης.</w:t>
      </w:r>
      <w:bookmarkEnd w:id="150"/>
      <w:bookmarkEnd w:id="151"/>
      <w:bookmarkEnd w:id="160"/>
      <w:bookmarkEnd w:id="161"/>
    </w:p>
    <w:p w:rsidR="00A57BFD" w:rsidRDefault="005B0D19">
      <w:pPr>
        <w:pStyle w:val="ManualNumPar1"/>
        <w:rPr>
          <w:noProof/>
        </w:rPr>
      </w:pPr>
      <w:bookmarkStart w:id="162" w:name="ai5j1n66p4q1"/>
      <w:bookmarkStart w:id="163" w:name="ai5j1n66p4"/>
      <w:r>
        <w:t>4.</w:t>
      </w:r>
      <w:r>
        <w:tab/>
      </w:r>
      <w:r>
        <w:rPr>
          <w:noProof/>
        </w:rPr>
        <w:t>Η Επιτροπή μπορεί να εκδίδει εκτελεστικές πράξεις για τον καθορισμό κανόνων όσον αφορά:</w:t>
      </w:r>
    </w:p>
    <w:p w:rsidR="00A57BFD" w:rsidRDefault="005B0D19">
      <w:pPr>
        <w:pStyle w:val="Point10"/>
        <w:rPr>
          <w:noProof/>
        </w:rPr>
      </w:pPr>
      <w:bookmarkStart w:id="164" w:name="ai5j1n66p4q1ra1"/>
      <w:bookmarkStart w:id="165" w:name="ai5j1n66p4q1ra1q1"/>
      <w:r>
        <w:rPr>
          <w:noProof/>
        </w:rPr>
        <w:t>α)</w:t>
      </w:r>
      <w:r>
        <w:rPr>
          <w:noProof/>
        </w:rPr>
        <w:tab/>
        <w:t>τη μορφή της εγγύησης που πρέπει να συσταθεί και τη διαδικασία για τη σύσταση της εγγύησης, την αποδοχή της και την αντικατάσταση της αρχικής εγγύησης,</w:t>
      </w:r>
      <w:bookmarkEnd w:id="164"/>
      <w:bookmarkEnd w:id="165"/>
    </w:p>
    <w:p w:rsidR="00A57BFD" w:rsidRDefault="005B0D19">
      <w:pPr>
        <w:pStyle w:val="Point10"/>
        <w:rPr>
          <w:noProof/>
        </w:rPr>
      </w:pPr>
      <w:bookmarkStart w:id="166" w:name="ai5j1n66p4q1ra2"/>
      <w:bookmarkStart w:id="167" w:name="ai5j1n66p4q1ra2q1"/>
      <w:r>
        <w:rPr>
          <w:noProof/>
        </w:rPr>
        <w:lastRenderedPageBreak/>
        <w:t>β)</w:t>
      </w:r>
      <w:r>
        <w:rPr>
          <w:noProof/>
        </w:rPr>
        <w:tab/>
        <w:t>τις διαδικασίες για την αποδέσμευση της εγγύησης,</w:t>
      </w:r>
      <w:bookmarkEnd w:id="166"/>
      <w:bookmarkEnd w:id="167"/>
    </w:p>
    <w:p w:rsidR="00A57BFD" w:rsidRDefault="005B0D19">
      <w:pPr>
        <w:pStyle w:val="Point10"/>
        <w:rPr>
          <w:noProof/>
        </w:rPr>
      </w:pPr>
      <w:bookmarkStart w:id="168" w:name="ai5j1n66p4q1ra3"/>
      <w:bookmarkStart w:id="169" w:name="ai5j1n66p4q1ra3q1"/>
      <w:r>
        <w:rPr>
          <w:noProof/>
        </w:rPr>
        <w:t>γ)</w:t>
      </w:r>
      <w:r>
        <w:rPr>
          <w:noProof/>
        </w:rPr>
        <w:tab/>
        <w:t>τις κοινοποιήσεις των κρατών μελών και της Επιτροπής.</w:t>
      </w:r>
      <w:bookmarkEnd w:id="162"/>
      <w:bookmarkEnd w:id="168"/>
      <w:bookmarkEnd w:id="169"/>
    </w:p>
    <w:p w:rsidR="00A57BFD" w:rsidRDefault="005B0D19">
      <w:pPr>
        <w:pStyle w:val="Text1"/>
        <w:rPr>
          <w:noProof/>
        </w:rPr>
      </w:pPr>
      <w:bookmarkStart w:id="170" w:name="ai5j1n66p4q2"/>
      <w:r>
        <w:rPr>
          <w:noProof/>
        </w:rPr>
        <w:t>Οι εν λόγω εκτελεστικές πράξεις εκδίδονται σύμφωνα με τη διαδικασία εξέτασης που προβλέπεται στο άρθρο</w:t>
      </w:r>
      <w:bookmarkEnd w:id="163"/>
      <w:bookmarkEnd w:id="170"/>
      <w:r>
        <w:rPr>
          <w:noProof/>
        </w:rPr>
        <w:t> 101 παράγραφος 3.</w:t>
      </w:r>
    </w:p>
    <w:p w:rsidR="00A57BFD" w:rsidRDefault="00A57BFD">
      <w:pPr>
        <w:rPr>
          <w:i/>
          <w:noProof/>
        </w:rPr>
      </w:pPr>
    </w:p>
    <w:p w:rsidR="00A57BFD" w:rsidRDefault="005B0D19">
      <w:pPr>
        <w:pStyle w:val="ChapterTitle0"/>
        <w:rPr>
          <w:noProof/>
        </w:rPr>
      </w:pPr>
      <w:r>
        <w:rPr>
          <w:noProof/>
        </w:rPr>
        <w:t>Κεφάλαιο ΙΙ</w:t>
      </w:r>
      <w:r>
        <w:rPr>
          <w:noProof/>
        </w:rPr>
        <w:br/>
        <w:t>Ολοκληρωμένο σύστημα διαχείρισης και ελέγχου</w:t>
      </w:r>
    </w:p>
    <w:p w:rsidR="00A57BFD" w:rsidRDefault="005B0D19">
      <w:pPr>
        <w:pStyle w:val="Titrearticle1"/>
        <w:rPr>
          <w:b/>
          <w:noProof/>
        </w:rPr>
      </w:pPr>
      <w:r>
        <w:rPr>
          <w:noProof/>
        </w:rPr>
        <w:t>Άρθρο 63</w:t>
      </w:r>
      <w:r>
        <w:rPr>
          <w:noProof/>
        </w:rPr>
        <w:br/>
      </w:r>
      <w:r>
        <w:rPr>
          <w:b/>
          <w:noProof/>
        </w:rPr>
        <w:t>Πεδίο εφαρμογής και ορισμοί</w:t>
      </w:r>
    </w:p>
    <w:p w:rsidR="00A57BFD" w:rsidRDefault="005B0D19">
      <w:pPr>
        <w:pStyle w:val="ManualNumPar1"/>
        <w:rPr>
          <w:noProof/>
        </w:rPr>
      </w:pPr>
      <w:r>
        <w:t>1.</w:t>
      </w:r>
      <w:r>
        <w:tab/>
      </w:r>
      <w:r>
        <w:rPr>
          <w:noProof/>
        </w:rPr>
        <w:t>Κάθε κράτος μέλος συγκροτεί και διαχειρίζεται ένα ολοκληρωμένο σύστημα διαχείρισης και ελέγχου («ολοκληρωμένο σύστημα»).</w:t>
      </w:r>
    </w:p>
    <w:p w:rsidR="00A57BFD" w:rsidRDefault="005B0D19">
      <w:pPr>
        <w:pStyle w:val="ManualNumPar1"/>
        <w:rPr>
          <w:noProof/>
        </w:rPr>
      </w:pPr>
      <w:r>
        <w:t>2.</w:t>
      </w:r>
      <w:r>
        <w:tab/>
      </w:r>
      <w:r>
        <w:rPr>
          <w:noProof/>
        </w:rPr>
        <w:t>Το ολοκληρωμένο σύστημα εφαρμόζεται στις παρεμβάσεις βάσει των εκτάσεων και των ζώων που αναφέρονται στον τίτλο III κεφάλαια ΙΙ και IV του κανονισμού (ΕΕ) …/… [κανονισμός για το στρατηγικό σχέδιο της ΚΓΠ] και στα μέτρα που αναφέρονται στο κεφάλαιο IV του κανονισμού (ΕΕ) αριθ. 228/2013</w:t>
      </w:r>
      <w:r>
        <w:rPr>
          <w:rStyle w:val="af7"/>
          <w:noProof/>
        </w:rPr>
        <w:footnoteReference w:id="32"/>
      </w:r>
      <w:r>
        <w:rPr>
          <w:noProof/>
        </w:rPr>
        <w:t xml:space="preserve"> και στο κεφάλαιο IV του κανονισμού (ΕΕ) αριθ. 229/2013</w:t>
      </w:r>
      <w:r>
        <w:rPr>
          <w:rStyle w:val="af7"/>
          <w:noProof/>
        </w:rPr>
        <w:footnoteReference w:id="33"/>
      </w:r>
      <w:r>
        <w:rPr>
          <w:noProof/>
        </w:rPr>
        <w:t xml:space="preserve"> αντιστοίχως.</w:t>
      </w:r>
    </w:p>
    <w:p w:rsidR="00A57BFD" w:rsidRDefault="005B0D19">
      <w:pPr>
        <w:pStyle w:val="ManualNumPar1"/>
        <w:rPr>
          <w:noProof/>
        </w:rPr>
      </w:pPr>
      <w:bookmarkStart w:id="171" w:name="ai5j2n67p3q1"/>
      <w:r>
        <w:t>3.</w:t>
      </w:r>
      <w:r>
        <w:tab/>
      </w:r>
      <w:r>
        <w:rPr>
          <w:noProof/>
        </w:rPr>
        <w:t>Στον βαθμό που είναι αναγκαίο, το ολοκληρωμένο σύστημα χρησιμοποιείται επίσης για τη διαχείριση και τον έλεγχο των προϋποθέσεων και των μέτρων στον αμπελοοινικό τομέα, όπως ορίζεται στον τίτλο III του κανονισμού (ΕΕ) …/… [κανονισμός για το στρατηγικό σχέδιο της ΚΓΠ].</w:t>
      </w:r>
      <w:bookmarkEnd w:id="171"/>
    </w:p>
    <w:p w:rsidR="00A57BFD" w:rsidRDefault="005B0D19">
      <w:pPr>
        <w:pStyle w:val="ManualNumPar1"/>
        <w:rPr>
          <w:noProof/>
        </w:rPr>
      </w:pPr>
      <w:r>
        <w:t>4.</w:t>
      </w:r>
      <w:r>
        <w:tab/>
      </w:r>
      <w:r>
        <w:rPr>
          <w:noProof/>
        </w:rPr>
        <w:t>Για τους σκοπούς του παρόντος κεφαλαίου νοούνται ως:</w:t>
      </w:r>
    </w:p>
    <w:p w:rsidR="00A57BFD" w:rsidRDefault="005B0D19">
      <w:pPr>
        <w:pStyle w:val="Point10"/>
        <w:rPr>
          <w:noProof/>
        </w:rPr>
      </w:pPr>
      <w:r>
        <w:rPr>
          <w:noProof/>
        </w:rPr>
        <w:t>α)</w:t>
      </w:r>
      <w:r>
        <w:rPr>
          <w:noProof/>
        </w:rPr>
        <w:tab/>
        <w:t>«αίτηση γεωχωρικών πληροφοριών»: έντυπο ηλεκτρονικής αίτησης που περιλαμβάνει εφαρμογή πληροφορικής βασιζόμενη σε σύστημα γεωγραφικών πληροφοριών που επιτρέπει στους δικαιούχους να δηλώσουν χωρικά τα αγροτεμάχια της εκμετάλλευσης και τις μη γεωργικές εκτάσεις για τις οποίες ζητείται η πληρωμή·</w:t>
      </w:r>
    </w:p>
    <w:p w:rsidR="00A57BFD" w:rsidRDefault="005B0D19">
      <w:pPr>
        <w:pStyle w:val="Point10"/>
        <w:rPr>
          <w:noProof/>
        </w:rPr>
      </w:pPr>
      <w:r>
        <w:rPr>
          <w:noProof/>
        </w:rPr>
        <w:t>β)</w:t>
      </w:r>
      <w:r>
        <w:rPr>
          <w:noProof/>
        </w:rPr>
        <w:tab/>
        <w:t xml:space="preserve">«σύστημα παρακολούθησης εκτάσεων»: διαδικασία τακτικής και συστηματικής παρατήρησης, παρακολούθησης και αξιολόγησης των γεωργικών δραστηριοτήτων και πρακτικών στις γεωργικές εκτάσεις από τα δεδομένα των δορυφόρων Copernicus Sentinels ή άλλα δεδομένα με τουλάχιστον ισοδύναμη αξία· </w:t>
      </w:r>
    </w:p>
    <w:p w:rsidR="00A57BFD" w:rsidRDefault="005B0D19">
      <w:pPr>
        <w:pStyle w:val="Point10"/>
        <w:rPr>
          <w:noProof/>
        </w:rPr>
      </w:pPr>
      <w:r>
        <w:rPr>
          <w:noProof/>
        </w:rPr>
        <w:t>γ)</w:t>
      </w:r>
      <w:r>
        <w:rPr>
          <w:noProof/>
        </w:rPr>
        <w:tab/>
        <w:t xml:space="preserve">«σύστημα αναγνώρισης και καταγραφής των ζώων»: το σύστημα αναγνώρισης και καταγραφής βοοειδών που προβλέπεται στον κανονισμό (ΕΚ) αριθ. </w:t>
      </w:r>
      <w:r>
        <w:rPr>
          <w:noProof/>
        </w:rPr>
        <w:lastRenderedPageBreak/>
        <w:t>1760/2000 του Ευρωπαϊκού Κοινοβουλίου και του Συμβουλίου</w:t>
      </w:r>
      <w:r>
        <w:rPr>
          <w:rStyle w:val="af7"/>
          <w:noProof/>
        </w:rPr>
        <w:footnoteReference w:id="34"/>
      </w:r>
      <w:r>
        <w:rPr>
          <w:noProof/>
        </w:rPr>
        <w:t xml:space="preserve"> ή το σύστημα αναγνώρισης και καταγραφής αιγοπροβάτων που προβλέπεται στον κανονισμό (ΕΚ) αριθ. 21/2004 του Συμβουλίου</w:t>
      </w:r>
      <w:r>
        <w:rPr>
          <w:rStyle w:val="af7"/>
          <w:noProof/>
        </w:rPr>
        <w:footnoteReference w:id="35"/>
      </w:r>
      <w:r>
        <w:rPr>
          <w:noProof/>
        </w:rPr>
        <w:t>·</w:t>
      </w:r>
    </w:p>
    <w:p w:rsidR="00A57BFD" w:rsidRDefault="005B0D19">
      <w:pPr>
        <w:pStyle w:val="Point10"/>
        <w:rPr>
          <w:noProof/>
        </w:rPr>
      </w:pPr>
      <w:r>
        <w:rPr>
          <w:noProof/>
        </w:rPr>
        <w:t>δ)</w:t>
      </w:r>
      <w:r>
        <w:rPr>
          <w:noProof/>
        </w:rPr>
        <w:tab/>
        <w:t>«αγροτεμάχιο»: μονάδα γης που αντιπροσωπεύει γεωργική έκταση, όπως ορίζεται στο άρθρο 4 του κανονισμού (ΕΕ) …/… [κανονισμός για το στρατηγικό σχέδιο της ΚΓΠ]·</w:t>
      </w:r>
    </w:p>
    <w:p w:rsidR="00A57BFD" w:rsidRDefault="005B0D19">
      <w:pPr>
        <w:pStyle w:val="Point10"/>
        <w:rPr>
          <w:noProof/>
        </w:rPr>
      </w:pPr>
      <w:r>
        <w:rPr>
          <w:noProof/>
        </w:rPr>
        <w:t>ε)</w:t>
      </w:r>
      <w:r>
        <w:rPr>
          <w:noProof/>
        </w:rPr>
        <w:tab/>
        <w:t>«σύστημα γεωγραφικών πληροφοριών»: σύστημα πληροφορικής ικανό να καταγράφει, να αποθηκεύει, να αναλύει και να εμφανίζει γεωγραφικά προσδιοριζόμενες πληροφορίες·</w:t>
      </w:r>
    </w:p>
    <w:p w:rsidR="00A57BFD" w:rsidRDefault="005B0D19">
      <w:pPr>
        <w:pStyle w:val="Point10"/>
        <w:rPr>
          <w:noProof/>
        </w:rPr>
      </w:pPr>
      <w:r>
        <w:rPr>
          <w:noProof/>
        </w:rPr>
        <w:t>στ)</w:t>
      </w:r>
      <w:r>
        <w:rPr>
          <w:noProof/>
        </w:rPr>
        <w:tab/>
        <w:t>«σύστημα χωρίς υποβολή αιτήσεων»: σύστημα υποβολής αιτήσεων για παρεμβάσεις με βάση την έκταση ή τα ζώα, στο οποίο τα αναγκαία δεδομένα που απαιτούνται από τη διοίκηση τουλάχιστον για μεμονωμένες εκτάσεις ή ζώα για τα οποία ζητείται ενίσχυση είναι διαθέσιμα σε επίσημες μηχανογραφικές βάσεις δεδομένων που διαχειρίζεται το κράτος μέλος.</w:t>
      </w:r>
    </w:p>
    <w:p w:rsidR="00A57BFD" w:rsidRDefault="005B0D19">
      <w:pPr>
        <w:pStyle w:val="Titrearticle1"/>
        <w:rPr>
          <w:b/>
          <w:noProof/>
        </w:rPr>
      </w:pPr>
      <w:r>
        <w:rPr>
          <w:noProof/>
        </w:rPr>
        <w:t>Άρθρο 64</w:t>
      </w:r>
      <w:r>
        <w:rPr>
          <w:b/>
          <w:noProof/>
        </w:rPr>
        <w:br/>
        <w:t>Στοιχεία του ολοκληρωμένου συστήματος</w:t>
      </w:r>
    </w:p>
    <w:p w:rsidR="00A57BFD" w:rsidRDefault="005B0D19">
      <w:pPr>
        <w:pStyle w:val="ManualNumPar1"/>
        <w:rPr>
          <w:noProof/>
        </w:rPr>
      </w:pPr>
      <w:r>
        <w:t>1.</w:t>
      </w:r>
      <w:r>
        <w:tab/>
      </w:r>
      <w:r>
        <w:rPr>
          <w:noProof/>
        </w:rPr>
        <w:t>Το ολοκληρωμένο σύστημα περιλαμβάνει τα ακόλουθα στοιχεία:</w:t>
      </w:r>
    </w:p>
    <w:p w:rsidR="00A57BFD" w:rsidRDefault="005B0D19">
      <w:pPr>
        <w:pStyle w:val="Point10"/>
        <w:rPr>
          <w:noProof/>
        </w:rPr>
      </w:pPr>
      <w:r>
        <w:rPr>
          <w:noProof/>
        </w:rPr>
        <w:t>α)</w:t>
      </w:r>
      <w:r>
        <w:rPr>
          <w:noProof/>
        </w:rPr>
        <w:tab/>
        <w:t>σύστημα αναγνώρισης αγροτεμαχίων·</w:t>
      </w:r>
    </w:p>
    <w:p w:rsidR="00A57BFD" w:rsidRDefault="005B0D19">
      <w:pPr>
        <w:pStyle w:val="Point10"/>
        <w:rPr>
          <w:noProof/>
        </w:rPr>
      </w:pPr>
      <w:r>
        <w:rPr>
          <w:noProof/>
        </w:rPr>
        <w:t>β)</w:t>
      </w:r>
      <w:r>
        <w:rPr>
          <w:noProof/>
        </w:rPr>
        <w:tab/>
        <w:t>σύστημα υποβολής αιτήσεων γεωχωρικών πληροφοριών και με βάση τα ζώα·</w:t>
      </w:r>
    </w:p>
    <w:p w:rsidR="00A57BFD" w:rsidRDefault="005B0D19">
      <w:pPr>
        <w:pStyle w:val="Point10"/>
        <w:rPr>
          <w:noProof/>
        </w:rPr>
      </w:pPr>
      <w:r>
        <w:rPr>
          <w:noProof/>
        </w:rPr>
        <w:t>γ)</w:t>
      </w:r>
      <w:r>
        <w:rPr>
          <w:noProof/>
        </w:rPr>
        <w:tab/>
        <w:t>σύστημα παρακολούθησης εκτάσεων·</w:t>
      </w:r>
    </w:p>
    <w:p w:rsidR="00A57BFD" w:rsidRDefault="005B0D19">
      <w:pPr>
        <w:pStyle w:val="Point10"/>
        <w:rPr>
          <w:noProof/>
        </w:rPr>
      </w:pPr>
      <w:bookmarkStart w:id="172" w:name="ai5j2n68p1q1ra6q1"/>
      <w:r>
        <w:rPr>
          <w:noProof/>
        </w:rPr>
        <w:t>δ)</w:t>
      </w:r>
      <w:r>
        <w:rPr>
          <w:noProof/>
        </w:rPr>
        <w:tab/>
        <w:t>σύστημα για την ταυτοποίηση των δικαιούχων των παρεμβάσεων και των μέτρων που αναφέρονται στο άρθρο </w:t>
      </w:r>
      <w:bookmarkEnd w:id="172"/>
      <w:r>
        <w:rPr>
          <w:noProof/>
        </w:rPr>
        <w:t>63 παράγραφος 2·</w:t>
      </w:r>
    </w:p>
    <w:p w:rsidR="00A57BFD" w:rsidRDefault="005B0D19">
      <w:pPr>
        <w:pStyle w:val="Point10"/>
        <w:rPr>
          <w:noProof/>
        </w:rPr>
      </w:pPr>
      <w:r>
        <w:rPr>
          <w:noProof/>
        </w:rPr>
        <w:t>ε)</w:t>
      </w:r>
      <w:r>
        <w:rPr>
          <w:noProof/>
        </w:rPr>
        <w:tab/>
        <w:t>σύστημα ελέγχου και επιβολής κυρώσεων·</w:t>
      </w:r>
    </w:p>
    <w:p w:rsidR="00A57BFD" w:rsidRDefault="005B0D19">
      <w:pPr>
        <w:pStyle w:val="Point10"/>
        <w:rPr>
          <w:noProof/>
        </w:rPr>
      </w:pPr>
      <w:r>
        <w:rPr>
          <w:noProof/>
        </w:rPr>
        <w:t>στ)</w:t>
      </w:r>
      <w:r>
        <w:rPr>
          <w:noProof/>
        </w:rPr>
        <w:tab/>
        <w:t>κατά περίπτωση, σύστημα προσδιορισμού και καταγραφής των δικαιωμάτων ενίσχυσης·</w:t>
      </w:r>
    </w:p>
    <w:p w:rsidR="00A57BFD" w:rsidRDefault="005B0D19">
      <w:pPr>
        <w:pStyle w:val="Point10"/>
        <w:rPr>
          <w:noProof/>
        </w:rPr>
      </w:pPr>
      <w:r>
        <w:rPr>
          <w:noProof/>
        </w:rPr>
        <w:t>ζ)</w:t>
      </w:r>
      <w:r>
        <w:rPr>
          <w:noProof/>
        </w:rPr>
        <w:tab/>
        <w:t>κατά περίπτωση, σύστημα αναγνώρισης και καταγραφής των ζώων.</w:t>
      </w:r>
    </w:p>
    <w:p w:rsidR="00A57BFD" w:rsidRDefault="005B0D19">
      <w:pPr>
        <w:pStyle w:val="ManualNumPar1"/>
        <w:rPr>
          <w:noProof/>
        </w:rPr>
      </w:pPr>
      <w:r>
        <w:t>2.</w:t>
      </w:r>
      <w:r>
        <w:tab/>
      </w:r>
      <w:r>
        <w:rPr>
          <w:noProof/>
        </w:rPr>
        <w:t>Το ολοκληρωμένο σύστημα λειτουργεί βάσει ηλεκτρονικών βάσεων δεδομένων και συστημάτων γεωγραφικών πληροφοριών και επιτρέπει την ανταλλαγή και ενοποίηση δεδομένων μεταξύ των ηλεκτρονικών βάσεων δεδομένων και των συστημάτων γεωγραφικών πληροφοριών.</w:t>
      </w:r>
    </w:p>
    <w:p w:rsidR="00A57BFD" w:rsidRDefault="005B0D19">
      <w:pPr>
        <w:pStyle w:val="ManualNumPar1"/>
        <w:rPr>
          <w:noProof/>
        </w:rPr>
      </w:pPr>
      <w:bookmarkStart w:id="173" w:name="ai5j2n68p3"/>
      <w:bookmarkStart w:id="174" w:name="ai5j2n68p3q1"/>
      <w:r>
        <w:t>3.</w:t>
      </w:r>
      <w:r>
        <w:tab/>
      </w:r>
      <w:r>
        <w:rPr>
          <w:noProof/>
        </w:rPr>
        <w:t>Με την επιφύλαξη των αρμοδιοτήτων των κρατών μελών όσον αφορά την υλοποίηση και την εφαρμογή του ολοκληρωμένου συστήματος, η Επιτροπή μπορεί να ζητά τη βοήθεια ειδικευμένων οργανισμών ή προσώπων, προκειμένου να διευκολύνει τη συγκρότηση, την παρακολούθηση και τη χρήση του ολοκληρωμένου συστήματος, ιδίως για τη χορήγηση τεχνικών συμβουλών στις αρμόδιες αρχές των κρατών μελών.</w:t>
      </w:r>
      <w:bookmarkEnd w:id="173"/>
      <w:bookmarkEnd w:id="174"/>
    </w:p>
    <w:p w:rsidR="00A57BFD" w:rsidRDefault="005B0D19">
      <w:pPr>
        <w:pStyle w:val="ManualNumPar1"/>
        <w:rPr>
          <w:noProof/>
        </w:rPr>
      </w:pPr>
      <w:bookmarkStart w:id="175" w:name="ai5j2n68p4q1"/>
      <w:r>
        <w:lastRenderedPageBreak/>
        <w:t>4.</w:t>
      </w:r>
      <w:r>
        <w:tab/>
      </w:r>
      <w:r>
        <w:rPr>
          <w:noProof/>
        </w:rPr>
        <w:t>Τα κράτη μέλη λαμβάνουν όλα τα μέτρα που απαιτούνται για τη σωστή σύσταση και λειτουργία του ολοκληρωμένου συστήματος και παρέχουν μεταξύ τους την αμοιβαία συνδρομή που είναι αναγκαία για τους σκοπούς του παρόντος κεφαλαίου.</w:t>
      </w:r>
      <w:bookmarkEnd w:id="175"/>
    </w:p>
    <w:p w:rsidR="00A57BFD" w:rsidRDefault="005B0D19">
      <w:pPr>
        <w:pStyle w:val="Titrearticle1"/>
        <w:rPr>
          <w:b/>
          <w:noProof/>
        </w:rPr>
      </w:pPr>
      <w:r>
        <w:rPr>
          <w:noProof/>
        </w:rPr>
        <w:t>Άρθρο 65</w:t>
      </w:r>
      <w:r>
        <w:rPr>
          <w:noProof/>
        </w:rPr>
        <w:br/>
      </w:r>
      <w:r>
        <w:rPr>
          <w:b/>
          <w:noProof/>
        </w:rPr>
        <w:t>Τήρηση και ανταλλαγή δεδομένων</w:t>
      </w:r>
    </w:p>
    <w:p w:rsidR="00A57BFD" w:rsidRDefault="005B0D19">
      <w:pPr>
        <w:pStyle w:val="ManualNumPar1"/>
        <w:rPr>
          <w:noProof/>
        </w:rPr>
      </w:pPr>
      <w:bookmarkStart w:id="176" w:name="ai5j2n69p1q1"/>
      <w:bookmarkStart w:id="177" w:name="ai5j2n69p1"/>
      <w:r>
        <w:t>1.</w:t>
      </w:r>
      <w:r>
        <w:tab/>
      </w:r>
      <w:r>
        <w:rPr>
          <w:noProof/>
        </w:rPr>
        <w:t>Τα κράτη μέλη καταγράφουν</w:t>
      </w:r>
      <w:bookmarkStart w:id="178" w:name="ai5j2n69p1q2"/>
      <w:bookmarkEnd w:id="176"/>
      <w:r>
        <w:rPr>
          <w:noProof/>
        </w:rPr>
        <w:t xml:space="preserve"> και τηρούν δεδομένα και έγγραφα σχετικά με τις ετήσιες εκροές που αναφέρονται στο πλαίσιο της ετήσιας εκκαθάρισης επιδόσεων σύμφωνα με το άρθρο 52 και την αναφερόμενη πρόοδο προς την επίτευξη των στόχων που καθορίζονται στο στρατηγικό σχέδιο της ΚΓΠ και η οποία παρακολουθείται σύμφωνα με το άρθρο 115 του κανονισμού (ΕΕ) …/… [κανονισμός για το στρατηγικό σχέδιο της ΚΓΠ].</w:t>
      </w:r>
    </w:p>
    <w:p w:rsidR="00A57BFD" w:rsidRDefault="005B0D19">
      <w:pPr>
        <w:pStyle w:val="Text1"/>
        <w:rPr>
          <w:noProof/>
        </w:rPr>
      </w:pPr>
      <w:r>
        <w:rPr>
          <w:noProof/>
        </w:rPr>
        <w:t xml:space="preserve">Τα δεδομένα και έγγραφα που αναφέρονται στο πρώτο εδάφιο σχετικά με το τρέχον ημερολογιακό έτος ή περίοδο εμπορίας και για τα προηγούμενα δέκα ημερολογιακά έτη ή περιόδους εμπορίας είναι προσβάσιμα για να τα συμβουλεύονται οι ενδιαφερόμενοι, μέσω των ψηφιακών βάσεων δεδομένων της αρμόδιας αρχής του κράτους μέλους. </w:t>
      </w:r>
      <w:bookmarkEnd w:id="178"/>
    </w:p>
    <w:p w:rsidR="00A57BFD" w:rsidRDefault="005B0D19">
      <w:pPr>
        <w:pStyle w:val="Text1"/>
        <w:rPr>
          <w:noProof/>
        </w:rPr>
      </w:pPr>
      <w:bookmarkStart w:id="179" w:name="ai5j2n69p1q3"/>
      <w:r>
        <w:rPr>
          <w:noProof/>
        </w:rPr>
        <w:t>Κατά παρέκκλιση από το δεύτερο εδάφιο, τα κράτη μέλη που προσχώρησαν στην Ένωση κατά ή μετά το 2013 υποχρεούνται να διασφαλίζουν ότι τα δεδομένα είναι διαθέσιμα για να τα συμβουλεύονται οι ενδιαφερόμενοι από το έτος της προσχώρησής τους και μετά.</w:t>
      </w:r>
      <w:bookmarkEnd w:id="177"/>
      <w:bookmarkEnd w:id="179"/>
      <w:r>
        <w:rPr>
          <w:noProof/>
        </w:rPr>
        <w:t xml:space="preserve"> </w:t>
      </w:r>
    </w:p>
    <w:p w:rsidR="00A57BFD" w:rsidRDefault="005B0D19">
      <w:pPr>
        <w:pStyle w:val="Text1"/>
        <w:rPr>
          <w:noProof/>
        </w:rPr>
      </w:pPr>
      <w:r>
        <w:rPr>
          <w:noProof/>
        </w:rPr>
        <w:t>Κατά παρέκκλιση από το δεύτερο εδάφιο, τα κράτη μέλη υποχρεούνται να εξασφαλίζουν ότι τα δεδομένα και τα έγγραφα που αφορούν το σύστημα παρακολούθησης εκτάσεων που αναφέρεται στο άρθρο 64 παράγραφος 1 στοιχείο γ) είναι διαθέσιμα για να τα συμβουλεύονται οι ενδιαφερόμενοι από την ημερομηνία εφαρμογής του συστήματος παρακολούθησης εκτάσεων.</w:t>
      </w:r>
    </w:p>
    <w:p w:rsidR="00A57BFD" w:rsidRDefault="005B0D19">
      <w:pPr>
        <w:pStyle w:val="ManualNumPar1"/>
        <w:rPr>
          <w:noProof/>
        </w:rPr>
      </w:pPr>
      <w:bookmarkStart w:id="180" w:name="ai5j2n69p2"/>
      <w:bookmarkStart w:id="181" w:name="ai5j2n69p2q1"/>
      <w:r>
        <w:t>2.</w:t>
      </w:r>
      <w:r>
        <w:tab/>
      </w:r>
      <w:r>
        <w:rPr>
          <w:noProof/>
        </w:rPr>
        <w:t>Τα κράτη μέλη μπορούν να εφαρμόζουν τις απαιτήσεις της παραγράφου 1 σε περιφερειακό επίπεδο, υπό την προϋπόθεση ότι οι εν λόγω απαιτήσεις και οι διοικητικές διαδικασίες για την καταγραφή και την πρόσβαση σε δεδομένα έχουν σχεδιαστεί ώστε να είναι ομοιόμορφες σε ολόκληρη την επικράτεια του κράτους μέλους και να επιτρέπουν την συγκέντρωση δεδομένων σε εθνικό επίπεδο.</w:t>
      </w:r>
      <w:bookmarkEnd w:id="180"/>
      <w:bookmarkEnd w:id="181"/>
    </w:p>
    <w:p w:rsidR="00A57BFD" w:rsidRDefault="005B0D19">
      <w:pPr>
        <w:pStyle w:val="ManualNumPar1"/>
        <w:rPr>
          <w:bCs/>
          <w:iCs/>
          <w:noProof/>
        </w:rPr>
      </w:pPr>
      <w:r>
        <w:t>3.</w:t>
      </w:r>
      <w:r>
        <w:tab/>
      </w:r>
      <w:r>
        <w:rPr>
          <w:noProof/>
        </w:rPr>
        <w:t>Τα κράτη μέλη μεριμνούν ώστε τα σύνολα δεδομένων που συλλέγονται μέσω του ολοκληρωμένου συστήματος και τα οποία είναι σημαντικά για τους σκοπούς της οδηγίας 2007/2/ΕΚ του Ευρωπαϊκού Κοινοβουλίου και του Συμβουλίου</w:t>
      </w:r>
      <w:r>
        <w:rPr>
          <w:rStyle w:val="af7"/>
          <w:noProof/>
        </w:rPr>
        <w:footnoteReference w:id="36"/>
      </w:r>
      <w:r>
        <w:rPr>
          <w:noProof/>
        </w:rPr>
        <w:t xml:space="preserve"> ή για την παρακολούθηση των πολιτικών της Ένωσης, κοινοποιούνται δωρεάν μεταξύ των δημόσιων αρχών και διατίθενται στο κοινό σε εθνικό επίπεδο. Τα κράτη μέλη παρέχουν επίσης στα θεσμικά όργανα και τους οργανισμούς της Ένωσης πρόσβαση στα εν λόγω σύνολα δεδομένων.</w:t>
      </w:r>
    </w:p>
    <w:p w:rsidR="00A57BFD" w:rsidRDefault="005B0D19">
      <w:pPr>
        <w:pStyle w:val="ManualNumPar1"/>
        <w:rPr>
          <w:bCs/>
          <w:iCs/>
          <w:noProof/>
          <w:szCs w:val="24"/>
        </w:rPr>
      </w:pPr>
      <w:r>
        <w:t>4.</w:t>
      </w:r>
      <w:r>
        <w:tab/>
      </w:r>
      <w:r>
        <w:rPr>
          <w:noProof/>
        </w:rPr>
        <w:t>Τα κράτη μέλη μεριμνούν ώστε τα σύνολα δεδομένων που συλλέγονται μέσω του ολοκληρωμένου συστήματος και τα οποία είναι σημαντικά για την παραγωγή ευρωπαϊκών στατιστικών όπως αναφέρεται στον κανονισμό (ΕΚ) αριθ. 223/2009</w:t>
      </w:r>
      <w:r>
        <w:rPr>
          <w:rStyle w:val="af7"/>
          <w:noProof/>
        </w:rPr>
        <w:footnoteReference w:id="37"/>
      </w:r>
      <w:r>
        <w:rPr>
          <w:noProof/>
        </w:rPr>
        <w:t xml:space="preserve">, </w:t>
      </w:r>
      <w:r>
        <w:rPr>
          <w:noProof/>
        </w:rPr>
        <w:lastRenderedPageBreak/>
        <w:t>κοινοποιούνται δωρεάν στη στατιστική αρχή της Κοινότητας, τα εθνικά στατιστικά ιδρύματα και, εφόσον είναι αναγκαίο, άλλες εθνικές αρχές που είναι υπεύθυνες για την παραγωγή ευρωπαϊκών στατιστικών.</w:t>
      </w:r>
    </w:p>
    <w:p w:rsidR="00A57BFD" w:rsidRDefault="005B0D19">
      <w:pPr>
        <w:pStyle w:val="ManualNumPar1"/>
        <w:rPr>
          <w:noProof/>
        </w:rPr>
      </w:pPr>
      <w:r>
        <w:t>5.</w:t>
      </w:r>
      <w:r>
        <w:tab/>
      </w:r>
      <w:r>
        <w:rPr>
          <w:noProof/>
        </w:rPr>
        <w:t>Τα κράτη μέλη περιορίζουν την πρόσβαση του κοινού στα σύνολα δεδομένων που αναφέρονται στις παραγράφους 3 και 4, εφόσον η εν λόγω πρόσβαση θίγει τον εμπιστευτικό χαρακτήρα των προσωπικών δεδομένων, σύμφωνα με τον κανονισμό (ΕΕ) 2016/679.</w:t>
      </w:r>
    </w:p>
    <w:p w:rsidR="00A57BFD" w:rsidRDefault="005B0D19">
      <w:pPr>
        <w:pStyle w:val="Titrearticle1"/>
        <w:rPr>
          <w:b/>
          <w:noProof/>
        </w:rPr>
      </w:pPr>
      <w:r>
        <w:rPr>
          <w:noProof/>
        </w:rPr>
        <w:t>Άρθρο 66</w:t>
      </w:r>
      <w:r>
        <w:rPr>
          <w:noProof/>
        </w:rPr>
        <w:br/>
      </w:r>
      <w:r>
        <w:rPr>
          <w:b/>
          <w:noProof/>
        </w:rPr>
        <w:t>Σύστημα αναγνώρισης αγροτεμαχίων</w:t>
      </w:r>
    </w:p>
    <w:p w:rsidR="00A57BFD" w:rsidRDefault="005B0D19">
      <w:pPr>
        <w:pStyle w:val="ManualNumPar1"/>
        <w:rPr>
          <w:bCs/>
          <w:iCs/>
          <w:noProof/>
        </w:rPr>
      </w:pPr>
      <w:bookmarkStart w:id="182" w:name="ai5j2n70p1q1"/>
      <w:r>
        <w:t>1.</w:t>
      </w:r>
      <w:r>
        <w:tab/>
      </w:r>
      <w:r>
        <w:rPr>
          <w:noProof/>
        </w:rPr>
        <w:t xml:space="preserve">Το σύστημα αναγνώρισης αγροτεμαχίων είναι ένα σύστημα γεωγραφικών πληροφοριών που δημιουργείται και ενημερώνεται τακτικά από τα κράτη μέλη με βάση εναέρια ή δορυφορική ορθοφωτογραφία με ενιαίο πρότυπο που εγγυάται επίπεδο ακρίβειας τουλάχιστον ισοδύναμο με αυτό της χαρτογραφίας σε κλίμακα 1:5 000. </w:t>
      </w:r>
    </w:p>
    <w:bookmarkEnd w:id="182"/>
    <w:p w:rsidR="00A57BFD" w:rsidRDefault="005B0D19">
      <w:pPr>
        <w:pStyle w:val="ManualNumPar1"/>
        <w:rPr>
          <w:bCs/>
          <w:iCs/>
          <w:noProof/>
        </w:rPr>
      </w:pPr>
      <w:r>
        <w:t>2.</w:t>
      </w:r>
      <w:r>
        <w:tab/>
      </w:r>
      <w:r>
        <w:rPr>
          <w:noProof/>
        </w:rPr>
        <w:t xml:space="preserve">Τα κράτη μέλη εξασφαλίζουν ότι το σύστημα αναγνώρισης αγροτεμαχίων: </w:t>
      </w:r>
    </w:p>
    <w:p w:rsidR="00A57BFD" w:rsidRDefault="005B0D19">
      <w:pPr>
        <w:pStyle w:val="Point10"/>
        <w:rPr>
          <w:noProof/>
        </w:rPr>
      </w:pPr>
      <w:r>
        <w:rPr>
          <w:noProof/>
        </w:rPr>
        <w:t>α)</w:t>
      </w:r>
      <w:r>
        <w:rPr>
          <w:noProof/>
        </w:rPr>
        <w:tab/>
        <w:t>προσδιορίζει με μοναδικό τρόπο κάθε αγροτεμάχιο και μονάδες γης που περιέχουν μη γεωργικές εκτάσεις οι οποίες θεωρούνται επιλέξιμες από τα κράτη μέλη για να λάβουν την ενίσχυση για τις παρεμβάσεις που αναφέρονται στον τίτλο ΙΙΙ του κανονισμού (ΕΕ) …/… [κανονισμός για το στρατηγικό σχέδιο της ΚΓΠ]·</w:t>
      </w:r>
    </w:p>
    <w:p w:rsidR="00A57BFD" w:rsidRDefault="005B0D19">
      <w:pPr>
        <w:pStyle w:val="Point10"/>
        <w:rPr>
          <w:noProof/>
        </w:rPr>
      </w:pPr>
      <w:r>
        <w:rPr>
          <w:noProof/>
        </w:rPr>
        <w:t>β)</w:t>
      </w:r>
      <w:r>
        <w:rPr>
          <w:noProof/>
        </w:rPr>
        <w:tab/>
        <w:t>περιέχει ενημερωμένες τιμές για τις εκτάσεις που θεωρούνται επιλέξιμες από τα κράτη μέλη για να λάβουν την ενίσχυση για τις παρεμβάσεις που αναφέρονται στο άρθρο 63 παράγραφος 2·</w:t>
      </w:r>
    </w:p>
    <w:p w:rsidR="00A57BFD" w:rsidRDefault="005B0D19">
      <w:pPr>
        <w:pStyle w:val="Point10"/>
        <w:rPr>
          <w:noProof/>
        </w:rPr>
      </w:pPr>
      <w:r>
        <w:rPr>
          <w:noProof/>
        </w:rPr>
        <w:t>γ)</w:t>
      </w:r>
      <w:r>
        <w:rPr>
          <w:noProof/>
        </w:rPr>
        <w:tab/>
        <w:t xml:space="preserve">επιτρέπει τον σωστό εντοπισμό των αγροτεμαχίων και των μη γεωργικών εκτάσεων για τις οποίες ζητείται η πληρωμή· </w:t>
      </w:r>
    </w:p>
    <w:p w:rsidR="00A57BFD" w:rsidRDefault="005B0D19">
      <w:pPr>
        <w:pStyle w:val="Point10"/>
        <w:rPr>
          <w:noProof/>
        </w:rPr>
      </w:pPr>
      <w:r>
        <w:rPr>
          <w:noProof/>
        </w:rPr>
        <w:t>δ)</w:t>
      </w:r>
      <w:r>
        <w:rPr>
          <w:noProof/>
        </w:rPr>
        <w:tab/>
        <w:t xml:space="preserve">περιέχει πληροφορίες σημαντικές για την υποβολή εκθέσεων για τους δείκτες που αναφέρονται στο άρθρο 7 του κανονισμού (ΕΕ) …/… [κανονισμός για το στρατηγικό σχέδιο της ΚΓΠ]· </w:t>
      </w:r>
    </w:p>
    <w:p w:rsidR="00A57BFD" w:rsidRDefault="005B0D19">
      <w:pPr>
        <w:pStyle w:val="ManualNumPar1"/>
        <w:rPr>
          <w:bCs/>
          <w:iCs/>
          <w:noProof/>
        </w:rPr>
      </w:pPr>
      <w:r>
        <w:t>3.</w:t>
      </w:r>
      <w:r>
        <w:tab/>
      </w:r>
      <w:r>
        <w:rPr>
          <w:noProof/>
        </w:rPr>
        <w:t>Τα κράτη μέλη αξιολογούν ετησίως την ποιότητα του συστήματος αναγνώρισης αγροτεμαχίων σύμφωνα με τη μεθοδολογία που έχει θεσπιστεί σε επίπεδο Ένωσης.</w:t>
      </w:r>
    </w:p>
    <w:p w:rsidR="00A57BFD" w:rsidRDefault="005B0D19">
      <w:pPr>
        <w:pStyle w:val="Text1"/>
        <w:rPr>
          <w:noProof/>
        </w:rPr>
      </w:pPr>
      <w:r>
        <w:rPr>
          <w:noProof/>
        </w:rPr>
        <w:t>Όταν η αξιολόγηση αποκαλύπτει ελλείψεις στο σύστημα, τα κράτη μέλη θεσπίζουν κατάλληλες διορθωτικές ενέργειες ή καλούνται να καταρτίσουν σχέδιο δράσης σύμφωνα με το άρθρο 40.</w:t>
      </w:r>
    </w:p>
    <w:p w:rsidR="00A57BFD" w:rsidRDefault="005B0D19">
      <w:pPr>
        <w:pStyle w:val="Text1"/>
        <w:rPr>
          <w:noProof/>
        </w:rPr>
      </w:pPr>
      <w:r>
        <w:rPr>
          <w:noProof/>
        </w:rPr>
        <w:t xml:space="preserve">Η έκθεση αξιολόγησης και, κατά περίπτωση, οι διορθωτικές ενέργειες με το χρονοδιάγραμμα εφαρμογής τους υποβάλλονται στην Επιτροπή έως τις 15 Φεβρουαρίου του έτους που έπεται του σχετικού ημερολογιακού έτους. </w:t>
      </w:r>
    </w:p>
    <w:p w:rsidR="00A57BFD" w:rsidRDefault="005B0D19">
      <w:pPr>
        <w:pStyle w:val="Titrearticle1"/>
        <w:rPr>
          <w:b/>
          <w:noProof/>
        </w:rPr>
      </w:pPr>
      <w:r>
        <w:rPr>
          <w:noProof/>
        </w:rPr>
        <w:lastRenderedPageBreak/>
        <w:t>Άρθρο 67</w:t>
      </w:r>
      <w:r>
        <w:rPr>
          <w:noProof/>
        </w:rPr>
        <w:br/>
      </w:r>
      <w:r>
        <w:rPr>
          <w:b/>
          <w:noProof/>
        </w:rPr>
        <w:t>Σύστημα υποβολής αιτήσεων γεωχωρικών πληροφοριών και με βάση τα ζώα</w:t>
      </w:r>
    </w:p>
    <w:p w:rsidR="00A57BFD" w:rsidRDefault="005B0D19">
      <w:pPr>
        <w:pStyle w:val="ManualNumPar1"/>
        <w:rPr>
          <w:bCs/>
          <w:iCs/>
          <w:noProof/>
        </w:rPr>
      </w:pPr>
      <w:bookmarkStart w:id="183" w:name="ai5j2n72p3"/>
      <w:bookmarkStart w:id="184" w:name="ai5j2n72p3q2"/>
      <w:r>
        <w:t>1.</w:t>
      </w:r>
      <w:r>
        <w:tab/>
      </w:r>
      <w:r>
        <w:rPr>
          <w:noProof/>
        </w:rPr>
        <w:t xml:space="preserve">Όσον αφορά τις ενισχύσεις για τις παρεμβάσεις με βάση την έκταση που αναφέρονται στο άρθρο 63 παράγραφος 2 και υλοποιούνται στο πλαίσιο των εθνικών στρατηγικών σχεδίων της ΚΓΠ, τα κράτη μέλη απαιτούν την υποβολή αίτησης μέσω της χρήσης της αίτησης γεωχωρικών πληροφοριών που παρέχεται από την αρμόδια αρχή για την υποβολή αίτησης. </w:t>
      </w:r>
    </w:p>
    <w:p w:rsidR="00A57BFD" w:rsidRDefault="005B0D19">
      <w:pPr>
        <w:pStyle w:val="ManualNumPar1"/>
        <w:rPr>
          <w:bCs/>
          <w:iCs/>
          <w:noProof/>
        </w:rPr>
      </w:pPr>
      <w:bookmarkStart w:id="185" w:name="v5g20d20w"/>
      <w:bookmarkEnd w:id="185"/>
      <w:r>
        <w:t>2.</w:t>
      </w:r>
      <w:r>
        <w:tab/>
      </w:r>
      <w:r>
        <w:rPr>
          <w:noProof/>
        </w:rPr>
        <w:t>Όσον αφορά τις ενισχύσεις για τις παρεμβάσεις με βάση τα ζώα που αναφέρονται στο άρθρο 63 παράγραφος 2 και υλοποιούνται στο πλαίσιο των εθνικών στρατηγικών σχεδίων της ΚΓΠ, τα κράτη μέλη απαιτούν την υποβολή αίτησης.</w:t>
      </w:r>
    </w:p>
    <w:p w:rsidR="00A57BFD" w:rsidRDefault="005B0D19">
      <w:pPr>
        <w:pStyle w:val="ManualNumPar1"/>
        <w:rPr>
          <w:bCs/>
          <w:iCs/>
          <w:noProof/>
        </w:rPr>
      </w:pPr>
      <w:r>
        <w:t>3.</w:t>
      </w:r>
      <w:r>
        <w:tab/>
      </w:r>
      <w:r>
        <w:rPr>
          <w:noProof/>
        </w:rPr>
        <w:t>Τα κράτη μέλη προσυμπληρώνουν τις αιτήσεις που αναφέρονται στις παραγράφους 1 και 2 με πληροφορίες από τα συστήματα που αναφέρονται στο άρθρο 64 παράγραφος 1 στοιχείο ζ) και στα άρθρα 66, 68, 69 και 71 ή από οποιαδήποτε άλλη σχετική δημόσια βάση δεδομένων.</w:t>
      </w:r>
    </w:p>
    <w:bookmarkEnd w:id="183"/>
    <w:bookmarkEnd w:id="184"/>
    <w:p w:rsidR="00A57BFD" w:rsidRDefault="005B0D19">
      <w:pPr>
        <w:pStyle w:val="ManualNumPar1"/>
        <w:rPr>
          <w:bCs/>
          <w:iCs/>
          <w:noProof/>
        </w:rPr>
      </w:pPr>
      <w:r>
        <w:t>4.</w:t>
      </w:r>
      <w:r>
        <w:tab/>
      </w:r>
      <w:r>
        <w:rPr>
          <w:noProof/>
        </w:rPr>
        <w:t xml:space="preserve">Τα κράτη μέλη μπορούν να αποφασίσουν ότι ένα σύστημα χωρίς υποβολή αιτήσεων καλύπτει μία ή περισσότερες από τις αιτήσεις που αναφέρονται στις παραγράφους 1 και 2. </w:t>
      </w:r>
    </w:p>
    <w:p w:rsidR="00A57BFD" w:rsidRDefault="005B0D19">
      <w:pPr>
        <w:pStyle w:val="ManualNumPar1"/>
        <w:rPr>
          <w:bCs/>
          <w:iCs/>
          <w:noProof/>
        </w:rPr>
      </w:pPr>
      <w:r>
        <w:t>5.</w:t>
      </w:r>
      <w:r>
        <w:tab/>
      </w:r>
      <w:r>
        <w:rPr>
          <w:noProof/>
        </w:rPr>
        <w:t>Τα κράτη μέλη αξιολογούν ετησίως την ποιότητα του συστήματος υποβολής αιτήσεων γεωχωρικών πληροφοριών σύμφωνα με τη μεθοδολογία που έχει διαμορφωθεί σε επίπεδο Ένωσης.</w:t>
      </w:r>
    </w:p>
    <w:p w:rsidR="00A57BFD" w:rsidRDefault="005B0D19">
      <w:pPr>
        <w:pStyle w:val="Text1"/>
        <w:rPr>
          <w:noProof/>
        </w:rPr>
      </w:pPr>
      <w:r>
        <w:rPr>
          <w:noProof/>
        </w:rPr>
        <w:t>Όταν η αξιολόγηση αποκαλύπτει ελλείψεις στο σύστημα, τα κράτη μέλη θεσπίζουν κατάλληλες διορθωτικές ενέργειες ή καλούνται από την Επιτροπή να καταρτίσουν σχέδιο δράσης σύμφωνα με το άρθρο 40.</w:t>
      </w:r>
    </w:p>
    <w:p w:rsidR="00A57BFD" w:rsidRDefault="005B0D19">
      <w:pPr>
        <w:pStyle w:val="Text1"/>
        <w:rPr>
          <w:noProof/>
        </w:rPr>
      </w:pPr>
      <w:r>
        <w:rPr>
          <w:noProof/>
        </w:rPr>
        <w:t>Η έκθεση αξιολόγησης και, κατά περίπτωση, οι διορθωτικές ενέργειες με το χρονοδιάγραμμα εφαρμογής τους υποβάλλονται στην Επιτροπή έως τις 15 Φεβρουαρίου του έτους που έπεται του σχετικού ημερολογιακού έτους.</w:t>
      </w:r>
    </w:p>
    <w:p w:rsidR="00A57BFD" w:rsidRDefault="005B0D19">
      <w:pPr>
        <w:pStyle w:val="Titrearticle1"/>
        <w:rPr>
          <w:b/>
          <w:noProof/>
        </w:rPr>
      </w:pPr>
      <w:r>
        <w:rPr>
          <w:noProof/>
        </w:rPr>
        <w:t>Άρθρο 68</w:t>
      </w:r>
      <w:r>
        <w:rPr>
          <w:noProof/>
        </w:rPr>
        <w:br/>
      </w:r>
      <w:r>
        <w:rPr>
          <w:b/>
          <w:noProof/>
        </w:rPr>
        <w:t>Σύστημα παρακολούθησης εκτάσεων</w:t>
      </w:r>
    </w:p>
    <w:p w:rsidR="00A57BFD" w:rsidRDefault="005B0D19">
      <w:pPr>
        <w:pStyle w:val="ManualNumPar1"/>
        <w:rPr>
          <w:bCs/>
          <w:iCs/>
          <w:noProof/>
        </w:rPr>
      </w:pPr>
      <w:r>
        <w:t>1.</w:t>
      </w:r>
      <w:r>
        <w:tab/>
      </w:r>
      <w:r>
        <w:rPr>
          <w:noProof/>
        </w:rPr>
        <w:t>Τα κράτη μέλη δημιουργούν και εφαρμόζουν σύστημα παρακολούθησης εκτάσεων.</w:t>
      </w:r>
    </w:p>
    <w:p w:rsidR="00A57BFD" w:rsidRDefault="005B0D19">
      <w:pPr>
        <w:pStyle w:val="ManualNumPar1"/>
        <w:rPr>
          <w:bCs/>
          <w:iCs/>
          <w:noProof/>
        </w:rPr>
      </w:pPr>
      <w:r>
        <w:t>2.</w:t>
      </w:r>
      <w:r>
        <w:tab/>
      </w:r>
      <w:r>
        <w:rPr>
          <w:noProof/>
        </w:rPr>
        <w:t>Τα κράτη μέλη αξιολογούν ετησίως την ποιότητα του συστήματος παρακολούθησης εκτάσεων σύμφωνα με τη μεθοδολογία που έχει διαμορφωθεί σε επίπεδο Ένωσης.</w:t>
      </w:r>
    </w:p>
    <w:p w:rsidR="00A57BFD" w:rsidRDefault="005B0D19">
      <w:pPr>
        <w:pStyle w:val="Text1"/>
        <w:rPr>
          <w:noProof/>
        </w:rPr>
      </w:pPr>
      <w:r>
        <w:rPr>
          <w:noProof/>
        </w:rPr>
        <w:t>Όταν η αξιολόγηση αποκαλύπτει ελλείψεις στο σύστημα, τα κράτη μέλη θεσπίζουν κατάλληλες διορθωτικές ενέργειες ή καλούνται να καταρτίσουν σχέδιο δράσης σύμφωνα με το άρθρο 40.</w:t>
      </w:r>
    </w:p>
    <w:p w:rsidR="00A57BFD" w:rsidRDefault="005B0D19">
      <w:pPr>
        <w:pStyle w:val="Text1"/>
        <w:rPr>
          <w:noProof/>
        </w:rPr>
      </w:pPr>
      <w:r>
        <w:rPr>
          <w:noProof/>
        </w:rPr>
        <w:t>Η έκθεση αξιολόγησης και, κατά περίπτωση, οι διορθωτικές ενέργειες με το χρονοδιάγραμμα εφαρμογής τους υποβάλλονται στην Επιτροπή έως τις 15 Φεβρουαρίου του έτους που έπεται του σχετικού ημερολογιακού έτους.</w:t>
      </w:r>
    </w:p>
    <w:p w:rsidR="00A57BFD" w:rsidRDefault="005B0D19">
      <w:pPr>
        <w:pStyle w:val="Titrearticle1"/>
        <w:rPr>
          <w:b/>
          <w:noProof/>
        </w:rPr>
      </w:pPr>
      <w:r>
        <w:rPr>
          <w:noProof/>
        </w:rPr>
        <w:t>Άρθρο 69</w:t>
      </w:r>
      <w:r>
        <w:rPr>
          <w:noProof/>
        </w:rPr>
        <w:br/>
      </w:r>
      <w:r>
        <w:rPr>
          <w:b/>
          <w:noProof/>
        </w:rPr>
        <w:t>Σύστημα ταυτοποίησης των δικαιούχων</w:t>
      </w:r>
    </w:p>
    <w:p w:rsidR="00A57BFD" w:rsidRDefault="005B0D19">
      <w:pPr>
        <w:rPr>
          <w:i/>
          <w:noProof/>
        </w:rPr>
      </w:pPr>
      <w:r>
        <w:rPr>
          <w:noProof/>
        </w:rPr>
        <w:t>Το σύστημα για την καταγραφή της ταυτότητας κάθε δικαιούχου των παρεμβάσεων και των μέτρων που αναφέρονται στο άρθρο 63 παράγραφος 2 εξασφαλίζει τη δυνατότητα ταυτοποίησης όλων των αιτήσεων που υποβάλλονται από τον ίδιο δικαιούχο.</w:t>
      </w:r>
    </w:p>
    <w:p w:rsidR="00A57BFD" w:rsidRDefault="005B0D19">
      <w:pPr>
        <w:pStyle w:val="Titrearticle1"/>
        <w:rPr>
          <w:b/>
          <w:noProof/>
        </w:rPr>
      </w:pPr>
      <w:r>
        <w:rPr>
          <w:noProof/>
        </w:rPr>
        <w:lastRenderedPageBreak/>
        <w:t>Άρθρο 70</w:t>
      </w:r>
      <w:r>
        <w:rPr>
          <w:noProof/>
        </w:rPr>
        <w:br/>
      </w:r>
      <w:r>
        <w:rPr>
          <w:b/>
          <w:noProof/>
        </w:rPr>
        <w:t>Σύστημα ελέγχου και επιβολής κυρώσεων</w:t>
      </w:r>
    </w:p>
    <w:p w:rsidR="00A57BFD" w:rsidRDefault="005B0D19">
      <w:pPr>
        <w:rPr>
          <w:noProof/>
        </w:rPr>
      </w:pPr>
      <w:r>
        <w:rPr>
          <w:noProof/>
        </w:rPr>
        <w:t>Τα κράτη μέλη θεσπίζουν σύστημα ελέγχου και επιβολής κυρώσεων για τις ενισχύσεις που αναφέρονται στο άρθρο 63.</w:t>
      </w:r>
    </w:p>
    <w:p w:rsidR="00A57BFD" w:rsidRDefault="005B0D19">
      <w:pPr>
        <w:rPr>
          <w:noProof/>
        </w:rPr>
      </w:pPr>
      <w:r>
        <w:rPr>
          <w:noProof/>
        </w:rPr>
        <w:t xml:space="preserve">Οι παράγραφοι 1 έως 5 του άρθρου 57 εφαρμόζονται κατ’ αναλογία. </w:t>
      </w:r>
    </w:p>
    <w:p w:rsidR="00A57BFD" w:rsidRDefault="005B0D19">
      <w:pPr>
        <w:pStyle w:val="Titrearticle1"/>
        <w:rPr>
          <w:b/>
          <w:noProof/>
        </w:rPr>
      </w:pPr>
      <w:r>
        <w:rPr>
          <w:noProof/>
        </w:rPr>
        <w:t>Άρθρο 71</w:t>
      </w:r>
      <w:r>
        <w:rPr>
          <w:noProof/>
        </w:rPr>
        <w:br/>
      </w:r>
      <w:r>
        <w:rPr>
          <w:b/>
          <w:noProof/>
        </w:rPr>
        <w:t>Σύστημα προσδιορισμού και καταγραφής των δικαιωμάτων ενίσχυσης</w:t>
      </w:r>
    </w:p>
    <w:p w:rsidR="00A57BFD" w:rsidRDefault="005B0D19">
      <w:pPr>
        <w:rPr>
          <w:noProof/>
        </w:rPr>
      </w:pPr>
      <w:bookmarkStart w:id="186" w:name="ai5j2n71p1"/>
      <w:bookmarkStart w:id="187" w:name="ai5j2n71p1q1"/>
      <w:r>
        <w:rPr>
          <w:noProof/>
        </w:rPr>
        <w:t>Το σύστημα προσδιορισμού και καταγραφής των δικαιωμάτων ενίσχυσης επιτρέπει την επαλήθευση των δικαιωμάτων με τις αιτήσεις και το σύστημα αναγνώρισης αγροτεμαχίων.</w:t>
      </w:r>
      <w:bookmarkEnd w:id="186"/>
      <w:bookmarkEnd w:id="187"/>
    </w:p>
    <w:p w:rsidR="00A57BFD" w:rsidRDefault="005B0D19">
      <w:pPr>
        <w:pStyle w:val="Titrearticle1"/>
        <w:rPr>
          <w:b/>
          <w:noProof/>
        </w:rPr>
      </w:pPr>
      <w:r>
        <w:rPr>
          <w:noProof/>
        </w:rPr>
        <w:t>Άρθρο 72</w:t>
      </w:r>
      <w:r>
        <w:rPr>
          <w:noProof/>
        </w:rPr>
        <w:br/>
      </w:r>
      <w:r>
        <w:rPr>
          <w:b/>
          <w:noProof/>
        </w:rPr>
        <w:t>Κατ’ εξουσιοδότηση αρμοδιότητες</w:t>
      </w:r>
    </w:p>
    <w:p w:rsidR="00A57BFD" w:rsidRDefault="005B0D19">
      <w:pPr>
        <w:rPr>
          <w:noProof/>
        </w:rPr>
      </w:pPr>
      <w:r>
        <w:rPr>
          <w:noProof/>
        </w:rPr>
        <w:t>Ανατίθεται στην Επιτροπή η εξουσία να εκδίδει κατ’ εξουσιοδότηση πράξεις σύμφωνα με το άρθρο 100 για να συμπληρώνει τον παρόντα κανονισμό όσον αφορά:</w:t>
      </w:r>
    </w:p>
    <w:p w:rsidR="00A57BFD" w:rsidRDefault="005B0D19">
      <w:pPr>
        <w:pStyle w:val="Point0"/>
        <w:rPr>
          <w:noProof/>
        </w:rPr>
      </w:pPr>
      <w:r>
        <w:rPr>
          <w:noProof/>
        </w:rPr>
        <w:t>α)</w:t>
      </w:r>
      <w:r>
        <w:rPr>
          <w:noProof/>
        </w:rPr>
        <w:tab/>
        <w:t>περαιτέρω κανόνες σχετικά με την αξιολόγηση της ποιότητας που αναφέρονται στα άρθρα 66, 67 και 68.</w:t>
      </w:r>
    </w:p>
    <w:p w:rsidR="00A57BFD" w:rsidRDefault="005B0D19">
      <w:pPr>
        <w:pStyle w:val="Point0"/>
        <w:rPr>
          <w:noProof/>
        </w:rPr>
      </w:pPr>
      <w:r>
        <w:rPr>
          <w:noProof/>
        </w:rPr>
        <w:t>β)</w:t>
      </w:r>
      <w:r>
        <w:rPr>
          <w:noProof/>
        </w:rPr>
        <w:tab/>
        <w:t>περαιτέρω ορισμούς, βασικά χαρακτηριστικά και κανόνες σχετικά με το σύστημα αναγνώρισης αγροτεμαχίων, το σύστημα ταυτοποίησης δικαιούχων και το σύστημα προσδιορισμού και καταγραφής των δικαιωμάτων ενίσχυσης που αναφέρονται στα άρθρα 66, 69 και 71.</w:t>
      </w:r>
    </w:p>
    <w:p w:rsidR="00A57BFD" w:rsidRDefault="005B0D19">
      <w:pPr>
        <w:pStyle w:val="Titrearticle1"/>
        <w:rPr>
          <w:b/>
          <w:noProof/>
        </w:rPr>
      </w:pPr>
      <w:r>
        <w:rPr>
          <w:noProof/>
        </w:rPr>
        <w:t>Άρθρο 73</w:t>
      </w:r>
      <w:r>
        <w:rPr>
          <w:noProof/>
        </w:rPr>
        <w:br/>
      </w:r>
      <w:r>
        <w:rPr>
          <w:b/>
          <w:noProof/>
        </w:rPr>
        <w:t>Εκτελεστικές αρμοδιότητες</w:t>
      </w:r>
    </w:p>
    <w:p w:rsidR="00A57BFD" w:rsidRDefault="005B0D19">
      <w:pPr>
        <w:rPr>
          <w:noProof/>
        </w:rPr>
      </w:pPr>
      <w:r>
        <w:rPr>
          <w:noProof/>
        </w:rPr>
        <w:t>Η Επιτροπή μπορεί να εκδίδει εκτελεστικές πράξεις για τον καθορισμό κανόνων όσον αφορά:</w:t>
      </w:r>
    </w:p>
    <w:p w:rsidR="00A57BFD" w:rsidRDefault="005B0D19">
      <w:pPr>
        <w:pStyle w:val="Point0"/>
        <w:rPr>
          <w:noProof/>
        </w:rPr>
      </w:pPr>
      <w:r>
        <w:rPr>
          <w:noProof/>
        </w:rPr>
        <w:t>α)</w:t>
      </w:r>
      <w:r>
        <w:rPr>
          <w:noProof/>
        </w:rPr>
        <w:tab/>
        <w:t>τη μορφή, το περιεχόμενο και τους λεπτομερείς κανόνες σύμφωνα με τους οποίους τίθενται στη διάθεση της Επιτροπής ή διαβιβάζονται σε αυτή:</w:t>
      </w:r>
    </w:p>
    <w:p w:rsidR="00A57BFD" w:rsidRDefault="005B0D19">
      <w:pPr>
        <w:pStyle w:val="Point10"/>
        <w:rPr>
          <w:noProof/>
        </w:rPr>
      </w:pPr>
      <w:r>
        <w:rPr>
          <w:noProof/>
        </w:rPr>
        <w:t>i)</w:t>
      </w:r>
      <w:r>
        <w:rPr>
          <w:noProof/>
        </w:rPr>
        <w:tab/>
        <w:t>οι εκθέσεις αξιολόγησης σχετικά με την ποιότητα του συστήματος αναγνώρισης αγροτεμαχίων, του συστήματος υποβολής αιτήσεων γεωχωρικών πληροφοριών και του συστήματος παρακολούθησης εκτάσεων·</w:t>
      </w:r>
    </w:p>
    <w:p w:rsidR="00A57BFD" w:rsidRDefault="005B0D19">
      <w:pPr>
        <w:pStyle w:val="Point10"/>
        <w:rPr>
          <w:noProof/>
        </w:rPr>
      </w:pPr>
      <w:r>
        <w:rPr>
          <w:noProof/>
        </w:rPr>
        <w:t>ii)</w:t>
      </w:r>
      <w:r>
        <w:rPr>
          <w:noProof/>
        </w:rPr>
        <w:tab/>
        <w:t>οι διορθωτικές ενέργειες που πρέπει να υλοποιηθούν από τα κράτη μέλη όπως αναφέρεται στα άρθρα 66, 67 και 68·</w:t>
      </w:r>
    </w:p>
    <w:p w:rsidR="00A57BFD" w:rsidRDefault="005B0D19">
      <w:pPr>
        <w:pStyle w:val="Point0"/>
        <w:rPr>
          <w:noProof/>
        </w:rPr>
      </w:pPr>
      <w:r>
        <w:rPr>
          <w:noProof/>
        </w:rPr>
        <w:t>β)</w:t>
      </w:r>
      <w:r>
        <w:rPr>
          <w:noProof/>
        </w:rPr>
        <w:tab/>
        <w:t>τα βασικά χαρακτηριστικά και οι κανόνες σχετικά με την εφαρμογή του συστήματος υποβολής αιτήσεων γεωχωρικών πληροφοριών και του συστήματος παρακολούθησης εκτάσεων σύμφωνα με τα άρθρα 67 και 68.</w:t>
      </w:r>
      <w:r>
        <w:rPr>
          <w:noProof/>
        </w:rPr>
        <w:tab/>
      </w:r>
    </w:p>
    <w:p w:rsidR="00A57BFD" w:rsidRDefault="005B0D19">
      <w:pPr>
        <w:rPr>
          <w:noProof/>
        </w:rPr>
      </w:pPr>
      <w:r>
        <w:rPr>
          <w:noProof/>
        </w:rPr>
        <w:t>Οι εν λόγω εκτελεστικές πράξεις εκδίδονται σύμφωνα με τη διαδικασία εξέτασης που προβλέπεται στο άρθρο 101 παράγραφος 3.</w:t>
      </w:r>
    </w:p>
    <w:p w:rsidR="00A57BFD" w:rsidRDefault="005B0D19">
      <w:pPr>
        <w:pStyle w:val="ChapterTitle0"/>
        <w:rPr>
          <w:noProof/>
        </w:rPr>
      </w:pPr>
      <w:r>
        <w:rPr>
          <w:noProof/>
        </w:rPr>
        <w:lastRenderedPageBreak/>
        <w:t>Κεφάλαιο IIΙ</w:t>
      </w:r>
      <w:r>
        <w:rPr>
          <w:noProof/>
        </w:rPr>
        <w:br/>
        <w:t>Έλεγχος των συναλλαγών</w:t>
      </w:r>
    </w:p>
    <w:p w:rsidR="00A57BFD" w:rsidRDefault="005B0D19">
      <w:pPr>
        <w:pStyle w:val="Titrearticle1"/>
        <w:rPr>
          <w:noProof/>
        </w:rPr>
      </w:pPr>
      <w:r>
        <w:rPr>
          <w:noProof/>
        </w:rPr>
        <w:t>Άρθρο 74</w:t>
      </w:r>
      <w:r>
        <w:rPr>
          <w:noProof/>
        </w:rPr>
        <w:br/>
      </w:r>
      <w:r>
        <w:rPr>
          <w:b/>
          <w:noProof/>
        </w:rPr>
        <w:t>Πεδίο εφαρμογής και ορισμοί</w:t>
      </w:r>
    </w:p>
    <w:p w:rsidR="00A57BFD" w:rsidRDefault="005B0D19">
      <w:pPr>
        <w:pStyle w:val="ManualNumPar1"/>
        <w:rPr>
          <w:noProof/>
        </w:rPr>
      </w:pPr>
      <w:bookmarkStart w:id="188" w:name="ai5j3n79p1"/>
      <w:bookmarkStart w:id="189" w:name="ai5j3n79p1q1"/>
      <w:r>
        <w:t>1.</w:t>
      </w:r>
      <w:r>
        <w:tab/>
      </w:r>
      <w:r>
        <w:rPr>
          <w:noProof/>
        </w:rPr>
        <w:t>Το παρόν κεφάλαιο καθορίζει ειδικούς κανόνες για τον έλεγχο των εμπορικών εγγράφων των οντοτήτων εκείνων που είναι δικαιούχοι ή οφειλέτες και σχετίζονται άμεσα ή έμμεσα με το σύστημα χρηματοδότησης από το ΕΓΤΕ ή των αντιπροσώπων των εν λόγω οντοτήτων (στο εξής «επιχειρήσεις»), προκειμένου να διαπιστωθεί κατά πόσον οι συναλλαγές που αποτελούν μέρος του συστήματος χρηματοδότησης από το ΕΓΤΕ έχουν όντως πραγματοποιηθεί και κατά πόσον έχουν εκτελεστεί ορθά.</w:t>
      </w:r>
      <w:bookmarkEnd w:id="188"/>
      <w:bookmarkEnd w:id="189"/>
    </w:p>
    <w:p w:rsidR="00A57BFD" w:rsidRDefault="005B0D19">
      <w:pPr>
        <w:pStyle w:val="ManualNumPar1"/>
        <w:rPr>
          <w:noProof/>
        </w:rPr>
      </w:pPr>
      <w:bookmarkStart w:id="190" w:name="ai5j3n79p2"/>
      <w:bookmarkStart w:id="191" w:name="ai5j3n79p2q1"/>
      <w:r>
        <w:t>2.</w:t>
      </w:r>
      <w:r>
        <w:tab/>
      </w:r>
      <w:r>
        <w:rPr>
          <w:noProof/>
        </w:rPr>
        <w:t>Το παρόν κεφάλαιο δεν εφαρμόζεται στις παρεμβάσεις που καλύπτονται από το ολοκληρωμένο σύστημα που αναφέρεται στο κεφάλαιο ΙΙ του παρόντος τίτλου και στο κεφάλαιο  ΙΙΙ του τίτλου III του κανονισμού (ΕΕ) …/… [κανονισμός για το στρατηγικό σχέδιο της ΚΓΠ]. Η Επιτροπή εξουσιοδοτείται να εκδίδει κατ’ εξουσιοδότηση πράξεις σύμφωνα με το άρθρο 100 για τη συμπλήρωση του παρόντος κανονισμού με την κατάρτιση καταλόγου παρεμβάσεων οι οποίες, λόγω του σχεδιασμού τους και των απαιτήσεων ελέγχου, δεν επιδέχονται πρόσθετο εκ των υστέρων έλεγχο υπό τη μορφή εξέτασης εμπορικών εγγράφων και συνεπώς δεν υποβάλλονται στο σχετικό έλεγχο δυνάμει του παρόντος κεφαλαίου.</w:t>
      </w:r>
      <w:bookmarkEnd w:id="190"/>
      <w:bookmarkEnd w:id="191"/>
    </w:p>
    <w:p w:rsidR="00A57BFD" w:rsidRDefault="005B0D19">
      <w:pPr>
        <w:pStyle w:val="ManualNumPar1"/>
        <w:rPr>
          <w:noProof/>
        </w:rPr>
      </w:pPr>
      <w:bookmarkStart w:id="192" w:name="ai5j3n79p3"/>
      <w:bookmarkStart w:id="193" w:name="ai5j3n79p3q1"/>
      <w:r>
        <w:t>3.</w:t>
      </w:r>
      <w:r>
        <w:tab/>
      </w:r>
      <w:r>
        <w:rPr>
          <w:noProof/>
        </w:rPr>
        <w:t>Για τους σκοπούς του παρόντος κεφαλαίου ισχύουν οι ακόλουθοι ορισμοί:</w:t>
      </w:r>
    </w:p>
    <w:p w:rsidR="00A57BFD" w:rsidRDefault="005B0D19">
      <w:pPr>
        <w:pStyle w:val="Point10"/>
        <w:rPr>
          <w:noProof/>
        </w:rPr>
      </w:pPr>
      <w:bookmarkStart w:id="194" w:name="ai5j3n79p3q1ra1"/>
      <w:bookmarkStart w:id="195" w:name="ai5j3n79p3q1ra1q1"/>
      <w:r>
        <w:rPr>
          <w:noProof/>
        </w:rPr>
        <w:t>α)</w:t>
      </w:r>
      <w:r>
        <w:rPr>
          <w:noProof/>
        </w:rPr>
        <w:tab/>
        <w:t>«εμπορικό έγγραφο»: κάθε βιβλίο, κατάλογος, σημείωση και δικαιολογητικό έγγραφο, λογιστικό βιβλίο, αρχείο παραγωγής και ποιότητας, η αλληλογραφία σχετικά με την επαγγελματική δραστηριότητα της επιχείρησης, καθώς και τα εμπορικά στοιχεία, υπό οποιαδήποτε μορφή, συμπεριλαμβανομένων των ηλεκτρονικά αποθηκευμένων στοιχείων, εφόσον τα έγγραφα ή στοιχεία αυτά έχουν άμεση ή έμμεση σχέση με τις συναλλαγές που αναφέρονται στην παράγραφο 1·</w:t>
      </w:r>
      <w:bookmarkEnd w:id="194"/>
      <w:bookmarkEnd w:id="195"/>
    </w:p>
    <w:p w:rsidR="00A57BFD" w:rsidRDefault="005B0D19">
      <w:pPr>
        <w:pStyle w:val="Point10"/>
        <w:rPr>
          <w:noProof/>
        </w:rPr>
      </w:pPr>
      <w:bookmarkStart w:id="196" w:name="ai5j3n79p3q1ra2"/>
      <w:bookmarkStart w:id="197" w:name="ai5j3n79p3q1ra2q1"/>
      <w:r>
        <w:rPr>
          <w:noProof/>
        </w:rPr>
        <w:t>β)</w:t>
      </w:r>
      <w:r>
        <w:rPr>
          <w:noProof/>
        </w:rPr>
        <w:tab/>
        <w:t>«τρίτο μέρος»: κάθε φυσικό ή νομικό πρόσωπο που έχει άμεση ή έμμεση σχέση με τις συναλλαγές που γίνονται στο πλαίσιο του συστήματος χρηματοδότησης από το ΕΓΤΕ.</w:t>
      </w:r>
      <w:bookmarkEnd w:id="192"/>
      <w:bookmarkEnd w:id="193"/>
      <w:bookmarkEnd w:id="196"/>
      <w:bookmarkEnd w:id="197"/>
    </w:p>
    <w:p w:rsidR="00A57BFD" w:rsidRDefault="005B0D19">
      <w:pPr>
        <w:pStyle w:val="Titrearticle1"/>
        <w:rPr>
          <w:b/>
          <w:noProof/>
        </w:rPr>
      </w:pPr>
      <w:bookmarkStart w:id="198" w:name="ai5j3n80g"/>
      <w:bookmarkStart w:id="199" w:name="ai5j3n80"/>
      <w:r>
        <w:rPr>
          <w:noProof/>
        </w:rPr>
        <w:t>Άρθρο 75</w:t>
      </w:r>
      <w:r>
        <w:rPr>
          <w:noProof/>
        </w:rPr>
        <w:br/>
      </w:r>
      <w:r>
        <w:rPr>
          <w:b/>
          <w:noProof/>
        </w:rPr>
        <w:t>Έλεγχος από τα κράτη μέλη</w:t>
      </w:r>
    </w:p>
    <w:p w:rsidR="00A57BFD" w:rsidRDefault="005B0D19">
      <w:pPr>
        <w:pStyle w:val="ManualNumPar1"/>
        <w:rPr>
          <w:noProof/>
        </w:rPr>
      </w:pPr>
      <w:bookmarkStart w:id="200" w:name="ai5j3n80p1"/>
      <w:bookmarkStart w:id="201" w:name="ai5j3n80p1q1"/>
      <w:bookmarkEnd w:id="198"/>
      <w:r>
        <w:t>1.</w:t>
      </w:r>
      <w:r>
        <w:tab/>
      </w:r>
      <w:r>
        <w:rPr>
          <w:noProof/>
        </w:rPr>
        <w:t>Τα κράτη μέλη προβαίνουν σε συστηματικούς ελέγχους των εμπορικών εγγράφων των επιχειρήσεων, λαμβάνοντας υπόψη τον χαρακτήρα των συναλλαγών που πρέπει να ελεγχθούν. Τα κράτη μέλη φροντίζουν ώστε η επιλογή των προς έλεγχο επιχειρήσεων να διασφαλίζει με τον καλύτερο δυνατό τρόπο την αποτελεσματικότητα των μέτρων πρόληψης και ανίχνευσης των παρατυπιών. Η επιλογή λαμβάνει ιδίως υπόψη, μεταξύ άλλων, την οικονομική σημασία των επιχειρήσεων στο σύστημα αυτό καθώς και άλλους παράγοντες κινδύνου.</w:t>
      </w:r>
      <w:bookmarkEnd w:id="200"/>
      <w:bookmarkEnd w:id="201"/>
    </w:p>
    <w:p w:rsidR="00A57BFD" w:rsidRDefault="005B0D19">
      <w:pPr>
        <w:pStyle w:val="ManualNumPar1"/>
        <w:rPr>
          <w:noProof/>
        </w:rPr>
      </w:pPr>
      <w:bookmarkStart w:id="202" w:name="ai5j3n80p2"/>
      <w:bookmarkStart w:id="203" w:name="ai5j3n80p2q1"/>
      <w:r>
        <w:t>2.</w:t>
      </w:r>
      <w:r>
        <w:tab/>
      </w:r>
      <w:r>
        <w:rPr>
          <w:noProof/>
        </w:rPr>
        <w:t>Στις κατάλληλες περιπτώσεις, ο έλεγχος που προβλέπεται στην παράγραφο 1 επεκτείνεται στα φυσικά ή νομικά πρόσωπα με τα οποία συνδέονται οι επιχειρήσεις καθώς και σε οποιοδήποτε φυσικό ή νομικό πρόσωπο το οποίο ενδεχομένως παρουσιάζει ενδιαφέρον στο πλαίσιο της επιδίωξης των στόχων του άρθρου 76.</w:t>
      </w:r>
      <w:bookmarkEnd w:id="202"/>
      <w:bookmarkEnd w:id="203"/>
    </w:p>
    <w:p w:rsidR="00A57BFD" w:rsidRDefault="005B0D19">
      <w:pPr>
        <w:pStyle w:val="ManualNumPar1"/>
        <w:rPr>
          <w:noProof/>
        </w:rPr>
      </w:pPr>
      <w:bookmarkStart w:id="204" w:name="ai5j3n80p3"/>
      <w:bookmarkStart w:id="205" w:name="ai5j3n80p3q1"/>
      <w:r>
        <w:lastRenderedPageBreak/>
        <w:t>3.</w:t>
      </w:r>
      <w:r>
        <w:tab/>
      </w:r>
      <w:r>
        <w:rPr>
          <w:noProof/>
        </w:rPr>
        <w:t>Ο έλεγχος που διενεργείται κατ’ εφαρμογή του παρόντος κεφαλαίου πραγματοποιείται με την επιφύλαξη των ελέγχων που διενεργούνται σύμφωνα με τα άρθρα 47 και 48.</w:t>
      </w:r>
      <w:bookmarkEnd w:id="199"/>
      <w:bookmarkEnd w:id="204"/>
      <w:bookmarkEnd w:id="205"/>
    </w:p>
    <w:p w:rsidR="00A57BFD" w:rsidRDefault="005B0D19">
      <w:pPr>
        <w:pStyle w:val="Titrearticle1"/>
        <w:rPr>
          <w:noProof/>
        </w:rPr>
      </w:pPr>
      <w:bookmarkStart w:id="206" w:name="ai5j3n81g"/>
      <w:bookmarkStart w:id="207" w:name="ai5j3n81"/>
      <w:r>
        <w:rPr>
          <w:noProof/>
        </w:rPr>
        <w:t>Άρθρο 76</w:t>
      </w:r>
      <w:r>
        <w:rPr>
          <w:noProof/>
        </w:rPr>
        <w:br/>
      </w:r>
      <w:bookmarkEnd w:id="206"/>
      <w:r>
        <w:rPr>
          <w:b/>
          <w:noProof/>
        </w:rPr>
        <w:t>Διασταυρούμενοι έλεγχοι</w:t>
      </w:r>
      <w:r>
        <w:rPr>
          <w:noProof/>
        </w:rPr>
        <w:t> </w:t>
      </w:r>
    </w:p>
    <w:p w:rsidR="00A57BFD" w:rsidRDefault="005B0D19">
      <w:pPr>
        <w:pStyle w:val="ManualNumPar1"/>
        <w:rPr>
          <w:noProof/>
        </w:rPr>
      </w:pPr>
      <w:bookmarkStart w:id="208" w:name="ai5j3n81p1"/>
      <w:bookmarkStart w:id="209" w:name="ai5j3n81p1q1"/>
      <w:r>
        <w:t>1.</w:t>
      </w:r>
      <w:r>
        <w:tab/>
      </w:r>
      <w:r>
        <w:rPr>
          <w:noProof/>
        </w:rPr>
        <w:t>Η ακρίβεια των πρωτογενών δεδομένων που υπόκεινται στον έλεγχο επαληθεύεται με διασταυρωτικούς ελέγχους που αφορούν επίσης, εάν χρειασθεί, τα εμπορικά έγγραφα τρίτων μερών, σε αριθμό ανάλογο με το βαθμό του κινδύνου που παρουσιάζουν, και συμπεριλαμβάνουν:</w:t>
      </w:r>
    </w:p>
    <w:p w:rsidR="00A57BFD" w:rsidRDefault="005B0D19">
      <w:pPr>
        <w:pStyle w:val="Point10"/>
        <w:rPr>
          <w:noProof/>
        </w:rPr>
      </w:pPr>
      <w:bookmarkStart w:id="210" w:name="ai5j3n81p1q1ra1"/>
      <w:bookmarkStart w:id="211" w:name="ai5j3n81p1q1ra1q1"/>
      <w:r>
        <w:rPr>
          <w:noProof/>
        </w:rPr>
        <w:t>α)</w:t>
      </w:r>
      <w:r>
        <w:rPr>
          <w:noProof/>
        </w:rPr>
        <w:tab/>
        <w:t>συγκρίσεις με τα εμπορικά έγγραφα των προμηθευτών, των πελατών, των μεταφορέων ή άλλων τρίτων μερών·</w:t>
      </w:r>
      <w:bookmarkEnd w:id="210"/>
      <w:bookmarkEnd w:id="211"/>
    </w:p>
    <w:p w:rsidR="00A57BFD" w:rsidRDefault="005B0D19">
      <w:pPr>
        <w:pStyle w:val="Point10"/>
        <w:rPr>
          <w:noProof/>
        </w:rPr>
      </w:pPr>
      <w:bookmarkStart w:id="212" w:name="ai5j3n81p1q1ra2"/>
      <w:bookmarkStart w:id="213" w:name="ai5j3n81p1q1ra2q1"/>
      <w:r>
        <w:rPr>
          <w:noProof/>
        </w:rPr>
        <w:t>β)</w:t>
      </w:r>
      <w:r>
        <w:rPr>
          <w:noProof/>
        </w:rPr>
        <w:tab/>
        <w:t>ενδεχομένως, φυσικούς ελέγχους της ποσότητας και της φύσης των αποθεμάτων·</w:t>
      </w:r>
      <w:bookmarkEnd w:id="212"/>
      <w:bookmarkEnd w:id="213"/>
    </w:p>
    <w:p w:rsidR="00A57BFD" w:rsidRDefault="005B0D19">
      <w:pPr>
        <w:pStyle w:val="Point10"/>
        <w:rPr>
          <w:noProof/>
        </w:rPr>
      </w:pPr>
      <w:bookmarkStart w:id="214" w:name="ai5j3n81p1q1ra3"/>
      <w:bookmarkStart w:id="215" w:name="ai5j3n81p1q1ra3q1"/>
      <w:r>
        <w:rPr>
          <w:noProof/>
        </w:rPr>
        <w:t>γ)</w:t>
      </w:r>
      <w:r>
        <w:rPr>
          <w:noProof/>
        </w:rPr>
        <w:tab/>
        <w:t xml:space="preserve">συγκρίσεις με καταχωρίσεις των χρηματοοικονομικών ροών που προηγούνται ή έπονται συναλλαγών που πραγματοποιούνται στο πλαίσιο του συστήματος χρηματοδότησης από το ΕΓΤΕ· </w:t>
      </w:r>
      <w:bookmarkEnd w:id="214"/>
      <w:bookmarkEnd w:id="215"/>
    </w:p>
    <w:p w:rsidR="00A57BFD" w:rsidRDefault="005B0D19">
      <w:pPr>
        <w:pStyle w:val="Point10"/>
        <w:rPr>
          <w:noProof/>
        </w:rPr>
      </w:pPr>
      <w:bookmarkStart w:id="216" w:name="ai5j3n81p1q1ra4"/>
      <w:bookmarkStart w:id="217" w:name="ai5j3n81p1q1ra4q1"/>
      <w:r>
        <w:rPr>
          <w:noProof/>
        </w:rPr>
        <w:t>δ)</w:t>
      </w:r>
      <w:r>
        <w:rPr>
          <w:noProof/>
        </w:rPr>
        <w:tab/>
        <w:t>ελέγχους σε σχέση με την τήρηση βιβλίων ή κεφαλαιακών κινήσεων, που καταδεικνύουν ότι, τη στιγμή του ελέγχου, τα έγγραφα που τηρεί ο οργανισμός πληρωμών ως απόδειξη της καταβολής της ενίσχυσης στον δικαιούχο, είναι ακριβή.</w:t>
      </w:r>
      <w:bookmarkEnd w:id="208"/>
      <w:bookmarkEnd w:id="209"/>
      <w:bookmarkEnd w:id="216"/>
      <w:bookmarkEnd w:id="217"/>
    </w:p>
    <w:p w:rsidR="00A57BFD" w:rsidRDefault="005B0D19">
      <w:pPr>
        <w:pStyle w:val="ManualNumPar1"/>
        <w:rPr>
          <w:noProof/>
        </w:rPr>
      </w:pPr>
      <w:bookmarkStart w:id="218" w:name="ai5j3n81p2"/>
      <w:bookmarkStart w:id="219" w:name="ai5j3n81p2q1"/>
      <w:r>
        <w:t>2.</w:t>
      </w:r>
      <w:r>
        <w:tab/>
      </w:r>
      <w:r>
        <w:rPr>
          <w:noProof/>
        </w:rPr>
        <w:t>Εφόσον οι επιχειρήσεις υποχρεούνται να τηρούν ειδικά λογιστικά βιβλία σύμφωνα με τις ενωσιακές ή εθνικές διατάξεις, ο έλεγχος των βιβλίων αυτών περιλαμβάνει, σε κατάλληλες περιπτώσεις, τη σύγκρισή τους με τα εμπορικά έγγραφα και, ενδεχομένως, τις πραγματικές ποσότητες των αποθεμάτων της επιχείρησης.</w:t>
      </w:r>
      <w:bookmarkEnd w:id="218"/>
      <w:bookmarkEnd w:id="219"/>
    </w:p>
    <w:p w:rsidR="00A57BFD" w:rsidRDefault="005B0D19">
      <w:pPr>
        <w:pStyle w:val="ManualNumPar1"/>
        <w:rPr>
          <w:noProof/>
        </w:rPr>
      </w:pPr>
      <w:bookmarkStart w:id="220" w:name="ai5j3n81p3"/>
      <w:bookmarkStart w:id="221" w:name="ai5j3n81p3q1"/>
      <w:r>
        <w:t>3.</w:t>
      </w:r>
      <w:r>
        <w:tab/>
      </w:r>
      <w:r>
        <w:rPr>
          <w:noProof/>
        </w:rPr>
        <w:t>Κατά την επιλογή των ελεγκτέων συναλλαγών, πρέπει να λαμβάνεται πλήρως υπόψη ο βαθμός του κινδύνου που παρουσιάζουν.</w:t>
      </w:r>
      <w:bookmarkEnd w:id="207"/>
      <w:bookmarkEnd w:id="220"/>
      <w:bookmarkEnd w:id="221"/>
    </w:p>
    <w:p w:rsidR="00A57BFD" w:rsidRDefault="005B0D19">
      <w:pPr>
        <w:pStyle w:val="Titrearticle1"/>
        <w:rPr>
          <w:noProof/>
        </w:rPr>
      </w:pPr>
      <w:bookmarkStart w:id="222" w:name="ai5j3n82g"/>
      <w:bookmarkStart w:id="223" w:name="ai5j3n82"/>
      <w:r>
        <w:rPr>
          <w:noProof/>
        </w:rPr>
        <w:t>Άρθρο 77</w:t>
      </w:r>
      <w:r>
        <w:rPr>
          <w:noProof/>
        </w:rPr>
        <w:br/>
      </w:r>
      <w:r>
        <w:rPr>
          <w:b/>
          <w:noProof/>
        </w:rPr>
        <w:t>Πρόσβαση σε εμπορικά έγγραφα</w:t>
      </w:r>
    </w:p>
    <w:p w:rsidR="00A57BFD" w:rsidRDefault="005B0D19">
      <w:pPr>
        <w:pStyle w:val="ManualNumPar1"/>
        <w:rPr>
          <w:noProof/>
        </w:rPr>
      </w:pPr>
      <w:bookmarkStart w:id="224" w:name="ai5j3n82p1"/>
      <w:bookmarkStart w:id="225" w:name="ai5j3n82p1q1"/>
      <w:bookmarkEnd w:id="222"/>
      <w:r>
        <w:t>1.</w:t>
      </w:r>
      <w:r>
        <w:tab/>
      </w:r>
      <w:r>
        <w:rPr>
          <w:noProof/>
        </w:rPr>
        <w:t>Οι υπεύθυνοι των επιχειρήσεων ή τρίτα μέρη διασφαλίζουν την παροχή όλων των εμπορικών εγγράφων και των συμπληρωματικών πληροφοριών στους αρμόδιους για τον έλεγχο υπαλλήλους ή στα εξουσιοδοτημένα για τον σκοπό αυτό πρόσωπα. Τα ηλεκτρονικά αποθηκευμένα στοιχεία πρέπει να παρέχονται σε κατάλληλο υπόθεμα.</w:t>
      </w:r>
      <w:bookmarkEnd w:id="224"/>
      <w:bookmarkEnd w:id="225"/>
    </w:p>
    <w:p w:rsidR="00A57BFD" w:rsidRDefault="005B0D19">
      <w:pPr>
        <w:pStyle w:val="ManualNumPar1"/>
        <w:rPr>
          <w:noProof/>
        </w:rPr>
      </w:pPr>
      <w:bookmarkStart w:id="226" w:name="ai5j3n82p2"/>
      <w:bookmarkStart w:id="227" w:name="ai5j3n82p2q1"/>
      <w:r>
        <w:t>2.</w:t>
      </w:r>
      <w:r>
        <w:tab/>
      </w:r>
      <w:r>
        <w:rPr>
          <w:noProof/>
        </w:rPr>
        <w:t>Οι υπάλληλοι που είναι αρμόδιοι για τον έλεγχο ή τα εξουσιοδοτημένα για τον σκοπό αυτό πρόσωπα μπορούν να αποκτούν αποσπάσματα ή αντίγραφα των εγγράφων που αναφέρονται στην παράγραφο 1.</w:t>
      </w:r>
      <w:bookmarkEnd w:id="226"/>
      <w:bookmarkEnd w:id="227"/>
    </w:p>
    <w:p w:rsidR="00A57BFD" w:rsidRDefault="005B0D19">
      <w:pPr>
        <w:pStyle w:val="ManualNumPar1"/>
        <w:rPr>
          <w:noProof/>
        </w:rPr>
      </w:pPr>
      <w:bookmarkStart w:id="228" w:name="ai5j3n82p3q1"/>
      <w:bookmarkStart w:id="229" w:name="ai5j3n82p3"/>
      <w:r>
        <w:t>3.</w:t>
      </w:r>
      <w:r>
        <w:tab/>
      </w:r>
      <w:r>
        <w:rPr>
          <w:noProof/>
        </w:rPr>
        <w:t>Στην περίπτωση που, κατά τη διάρκεια ελέγχου διενεργούμενου βάσει του παρόντος κεφαλαίου, τα εμπορικά έγγραφα που φυλάσσονται από την επιχείρηση κρίνονται ανεπαρκή για τους σκοπούς του ελέγχου, η επιχείρηση λαμβάνει οδηγίες να τηρεί στο μέλλον τα αρχεία που απαιτούνται από το κράτος μέλος που είναι υπεύθυνο για τον έλεγχο, με την επιφύλαξη των υποχρεώσεων που καθορίζονται σε άλλους κανονισμούς που αφορούν τον σχετικό τομέα.</w:t>
      </w:r>
      <w:bookmarkEnd w:id="228"/>
    </w:p>
    <w:p w:rsidR="00A57BFD" w:rsidRDefault="005B0D19">
      <w:pPr>
        <w:pStyle w:val="Text1"/>
        <w:rPr>
          <w:noProof/>
        </w:rPr>
      </w:pPr>
      <w:bookmarkStart w:id="230" w:name="ai5j3n82p3q2"/>
      <w:r>
        <w:rPr>
          <w:noProof/>
        </w:rPr>
        <w:t>Τα κράτη μέλη καθορίζουν την ημερομηνία από την οποία πρέπει να τηρούνται τα εν λόγω αρχεία.</w:t>
      </w:r>
      <w:bookmarkEnd w:id="230"/>
    </w:p>
    <w:p w:rsidR="00A57BFD" w:rsidRDefault="005B0D19">
      <w:pPr>
        <w:pStyle w:val="Text1"/>
        <w:rPr>
          <w:noProof/>
        </w:rPr>
      </w:pPr>
      <w:bookmarkStart w:id="231" w:name="ai5j3n82p3q3"/>
      <w:r>
        <w:rPr>
          <w:noProof/>
        </w:rPr>
        <w:lastRenderedPageBreak/>
        <w:t>Όταν το σύνολο ή μέρος των εμπορικών εγγράφων τα οποία βάσει του παρόντος κεφαλαίου πρέπει να υποβληθούν σε έλεγχο βρίσκεται σε επιχείρηση του ιδίου εμπορικού ομίλου, της ίδιας εταιρείας ή της ίδιας σύμπραξης επιχειρήσεων που διευθύνεται σε ενιαία βάση με την ελεγχόμενη εταιρεία, ανεξαρτήτως του αν βρίσκεται εντός ή εκτός του εδάφους της Ένωσης, η επιχείρηση πρέπει να τα θέτει στη διάθεση των αρμόδιων για τον έλεγχο υπαλλήλων, σε τόπο και χρόνο που καθορίζονται από το κράτος μέλος που είναι υπεύθυνο για τη διενέργεια του ελέγχου.</w:t>
      </w:r>
      <w:bookmarkEnd w:id="229"/>
      <w:bookmarkEnd w:id="231"/>
    </w:p>
    <w:p w:rsidR="00A57BFD" w:rsidRDefault="005B0D19">
      <w:pPr>
        <w:pStyle w:val="ManualNumPar1"/>
        <w:rPr>
          <w:noProof/>
        </w:rPr>
      </w:pPr>
      <w:bookmarkStart w:id="232" w:name="ai5j3n82p4"/>
      <w:bookmarkStart w:id="233" w:name="ai5j3n82p4q1"/>
      <w:r>
        <w:t>4.</w:t>
      </w:r>
      <w:r>
        <w:tab/>
      </w:r>
      <w:r>
        <w:rPr>
          <w:noProof/>
        </w:rPr>
        <w:t>Τα κράτη μέλη εξασφαλίζουν ότι οι υπάλληλοι που είναι αρμόδιοι για τους ελέγχους έχουν δικαίωμα να προβαίνουν στην κατάσχεση ή να διατάσσουν την κατάσχεση εμπορικών εγγράφων. Το δικαίωμα αυτό ασκείται σύμφωνα με τις σχετικές εθνικές διατάξεις και με την επιφύλαξη της εφαρμογής των κανόνων της ποινικής δικονομίας σχετικά με την κατάσχεση εγγράφων.</w:t>
      </w:r>
      <w:bookmarkEnd w:id="223"/>
      <w:bookmarkEnd w:id="232"/>
      <w:bookmarkEnd w:id="233"/>
    </w:p>
    <w:p w:rsidR="00A57BFD" w:rsidRDefault="005B0D19">
      <w:pPr>
        <w:pStyle w:val="Titrearticle1"/>
        <w:rPr>
          <w:rFonts w:eastAsia="Times New Roman"/>
          <w:b/>
          <w:noProof/>
          <w:szCs w:val="24"/>
        </w:rPr>
      </w:pPr>
      <w:bookmarkStart w:id="234" w:name="ai5j3n83g"/>
      <w:bookmarkStart w:id="235" w:name="ai5j3n83"/>
      <w:r>
        <w:rPr>
          <w:noProof/>
        </w:rPr>
        <w:t>Άρθρο 78</w:t>
      </w:r>
      <w:r>
        <w:rPr>
          <w:rFonts w:eastAsia="Times New Roman"/>
          <w:b/>
          <w:noProof/>
          <w:szCs w:val="24"/>
        </w:rPr>
        <w:br/>
      </w:r>
      <w:r>
        <w:rPr>
          <w:b/>
          <w:noProof/>
        </w:rPr>
        <w:t>Αμοιβαία συνδρομή </w:t>
      </w:r>
      <w:r>
        <w:rPr>
          <w:noProof/>
        </w:rPr>
        <w:t xml:space="preserve"> </w:t>
      </w:r>
      <w:bookmarkEnd w:id="234"/>
    </w:p>
    <w:p w:rsidR="00A57BFD" w:rsidRDefault="005B0D19">
      <w:pPr>
        <w:pStyle w:val="ManualNumPar1"/>
        <w:rPr>
          <w:noProof/>
        </w:rPr>
      </w:pPr>
      <w:bookmarkStart w:id="236" w:name="ai5j3n83p1q1"/>
      <w:bookmarkStart w:id="237" w:name="ai5j3n83p1"/>
      <w:r>
        <w:t>1.</w:t>
      </w:r>
      <w:r>
        <w:tab/>
      </w:r>
      <w:r>
        <w:rPr>
          <w:noProof/>
        </w:rPr>
        <w:t>Τα κράτη μέλη παρέχουν αμοιβαία συνδρομή για τους σκοπούς της διενέργειας των ελέγχων που προβλέπονται στο παρόν κεφάλαιο στις ακόλουθες περιπτώσεις:</w:t>
      </w:r>
    </w:p>
    <w:p w:rsidR="00A57BFD" w:rsidRDefault="005B0D19">
      <w:pPr>
        <w:pStyle w:val="Point10"/>
        <w:rPr>
          <w:noProof/>
        </w:rPr>
      </w:pPr>
      <w:bookmarkStart w:id="238" w:name="ai5j3n83p1q1ra1"/>
      <w:bookmarkStart w:id="239" w:name="ai5j3n83p1q1ra1q1"/>
      <w:r>
        <w:rPr>
          <w:noProof/>
        </w:rPr>
        <w:t>α)</w:t>
      </w:r>
      <w:r>
        <w:rPr>
          <w:noProof/>
        </w:rPr>
        <w:tab/>
        <w:t>όταν μια επιχείρηση ή τρίτο μέρος είναι εγκατεστημένο σε κράτος μέλος άλλο από εκείνο στο οποίο πραγματοποιήθηκε ή έπρεπε να πραγματοποιηθεί η είσπραξη ή/και η καταβολή του σχετικού ποσού·</w:t>
      </w:r>
      <w:bookmarkEnd w:id="238"/>
      <w:bookmarkEnd w:id="239"/>
    </w:p>
    <w:p w:rsidR="00A57BFD" w:rsidRDefault="005B0D19">
      <w:pPr>
        <w:pStyle w:val="Point10"/>
        <w:rPr>
          <w:noProof/>
        </w:rPr>
      </w:pPr>
      <w:bookmarkStart w:id="240" w:name="ai5j3n83p1q1ra2"/>
      <w:bookmarkStart w:id="241" w:name="ai5j3n83p1q1ra2q1"/>
      <w:r>
        <w:rPr>
          <w:noProof/>
        </w:rPr>
        <w:t>β)</w:t>
      </w:r>
      <w:r>
        <w:rPr>
          <w:noProof/>
        </w:rPr>
        <w:tab/>
        <w:t>όταν μια επιχείρηση ή τρίτο μέρος είναι εγκατεστημένη/ο σε κράτος μέλος άλλο από εκείνο στο οποίο βρίσκονται τα απαραίτητα για τον έλεγχο έγγραφα και πληροφορίες.</w:t>
      </w:r>
      <w:bookmarkEnd w:id="236"/>
      <w:bookmarkEnd w:id="240"/>
      <w:bookmarkEnd w:id="241"/>
    </w:p>
    <w:p w:rsidR="00A57BFD" w:rsidRDefault="005B0D19">
      <w:pPr>
        <w:pStyle w:val="Text1"/>
        <w:rPr>
          <w:noProof/>
        </w:rPr>
      </w:pPr>
      <w:bookmarkStart w:id="242" w:name="ai5j3n83p1q2"/>
      <w:r>
        <w:rPr>
          <w:noProof/>
        </w:rPr>
        <w:t>Η Επιτροπή μπορεί να συντονίζει κοινές δράσεις με αμοιβαία συνδρομή μεταξύ δύο ή περισσοτέρων κρατών μελών.</w:t>
      </w:r>
      <w:bookmarkEnd w:id="237"/>
      <w:bookmarkEnd w:id="242"/>
    </w:p>
    <w:p w:rsidR="00A57BFD" w:rsidRDefault="005B0D19">
      <w:pPr>
        <w:pStyle w:val="ManualNumPar1"/>
        <w:rPr>
          <w:noProof/>
        </w:rPr>
      </w:pPr>
      <w:bookmarkStart w:id="243" w:name="ai5j3n83p2"/>
      <w:bookmarkStart w:id="244" w:name="ai5j3n83p2q1"/>
      <w:r>
        <w:t>2.</w:t>
      </w:r>
      <w:r>
        <w:tab/>
      </w:r>
      <w:r>
        <w:rPr>
          <w:noProof/>
        </w:rPr>
        <w:t>Τα κράτη μέλη αποστέλλουν στην Επιτροπή κατάλογο των εγκατεστημένων σε τρίτη χώρα επιχειρήσεων για τις οποίες το εν λόγω ποσό έχει ή θα έπρεπε να έχει καταβληθεί ή εισπραχθεί στο συγκεκριμένο κράτος μέλος.</w:t>
      </w:r>
      <w:bookmarkEnd w:id="243"/>
      <w:bookmarkEnd w:id="244"/>
    </w:p>
    <w:p w:rsidR="00A57BFD" w:rsidRDefault="005B0D19">
      <w:pPr>
        <w:pStyle w:val="ManualNumPar1"/>
        <w:rPr>
          <w:noProof/>
        </w:rPr>
      </w:pPr>
      <w:bookmarkStart w:id="245" w:name="ai5j3n83p3q1"/>
      <w:bookmarkStart w:id="246" w:name="ai5j3n83p3"/>
      <w:r>
        <w:t>3.</w:t>
      </w:r>
      <w:r>
        <w:tab/>
      </w:r>
      <w:r>
        <w:rPr>
          <w:noProof/>
        </w:rPr>
        <w:t xml:space="preserve">Εφόσον για τον έλεγχο επιχείρησης, σύμφωνα με το άρθρο 75, απαιτούνται συμπληρωματικές πληροφορίες σε άλλο κράτος μέλος και ιδίως διασταυρωτικοί έλεγχοι σύμφωνα με το άρθρο  76, μπορούν να υποβάλλονται ειδικές αιτήσεις ελέγχου, δεόντως αιτιολογημένες. </w:t>
      </w:r>
      <w:bookmarkEnd w:id="245"/>
    </w:p>
    <w:p w:rsidR="00A57BFD" w:rsidRDefault="005B0D19">
      <w:pPr>
        <w:pStyle w:val="Text1"/>
        <w:rPr>
          <w:noProof/>
        </w:rPr>
      </w:pPr>
      <w:bookmarkStart w:id="247" w:name="ai5j3n83p3q2"/>
      <w:r>
        <w:rPr>
          <w:noProof/>
        </w:rPr>
        <w:t>Η αίτηση ελέγχου διεκπεραιώνεται το αργότερο έξι μήνες από την παραλαβή της· τα αποτελέσματα του ελέγχου ανακοινώνονται αμελλητί στο αιτούν κράτος μέλος</w:t>
      </w:r>
      <w:bookmarkEnd w:id="235"/>
      <w:bookmarkEnd w:id="246"/>
      <w:bookmarkEnd w:id="247"/>
      <w:r>
        <w:rPr>
          <w:noProof/>
        </w:rPr>
        <w:t>.</w:t>
      </w:r>
    </w:p>
    <w:p w:rsidR="00A57BFD" w:rsidRDefault="005B0D19">
      <w:pPr>
        <w:pStyle w:val="Titrearticle1"/>
        <w:rPr>
          <w:noProof/>
        </w:rPr>
      </w:pPr>
      <w:bookmarkStart w:id="248" w:name="ai5j3n84g"/>
      <w:bookmarkStart w:id="249" w:name="ai5j3n84"/>
      <w:r>
        <w:rPr>
          <w:noProof/>
        </w:rPr>
        <w:t>Άρθρο 79</w:t>
      </w:r>
      <w:r>
        <w:rPr>
          <w:noProof/>
        </w:rPr>
        <w:br/>
      </w:r>
      <w:r>
        <w:rPr>
          <w:b/>
          <w:noProof/>
        </w:rPr>
        <w:t>Προγραμματισμός</w:t>
      </w:r>
    </w:p>
    <w:p w:rsidR="00A57BFD" w:rsidRDefault="005B0D19">
      <w:pPr>
        <w:pStyle w:val="ManualNumPar1"/>
        <w:rPr>
          <w:noProof/>
        </w:rPr>
      </w:pPr>
      <w:bookmarkStart w:id="250" w:name="ai5j3n84p1"/>
      <w:bookmarkStart w:id="251" w:name="ai5j3n84p1q1"/>
      <w:bookmarkEnd w:id="248"/>
      <w:r>
        <w:t>1.</w:t>
      </w:r>
      <w:r>
        <w:tab/>
      </w:r>
      <w:r>
        <w:rPr>
          <w:noProof/>
        </w:rPr>
        <w:t>Τα κράτη μέλη καταρτίζουν το πρόγραμμα των ελέγχων που θα πραγματοποιηθούν σύμφωνα με το άρθρο 75 κατά τη διάρκεια της επόμενης περιόδου ελέγχου.</w:t>
      </w:r>
      <w:bookmarkEnd w:id="250"/>
      <w:bookmarkEnd w:id="251"/>
    </w:p>
    <w:p w:rsidR="00A57BFD" w:rsidRDefault="005B0D19">
      <w:pPr>
        <w:pStyle w:val="ManualNumPar1"/>
        <w:rPr>
          <w:noProof/>
        </w:rPr>
      </w:pPr>
      <w:bookmarkStart w:id="252" w:name="ai5j3n84p2"/>
      <w:bookmarkStart w:id="253" w:name="ai5j3n84p2q1"/>
      <w:r>
        <w:t>2.</w:t>
      </w:r>
      <w:r>
        <w:tab/>
      </w:r>
      <w:r>
        <w:rPr>
          <w:noProof/>
        </w:rPr>
        <w:t>Κάθε έτος, πριν από τις 15 Απριλίου, τα κράτη μέλη διαβιβάζουν στην Επιτροπή το πρόγραμμά τους που αναφέρεται στην παράγραφο 1, διευκρινίζοντας:</w:t>
      </w:r>
    </w:p>
    <w:p w:rsidR="00A57BFD" w:rsidRDefault="005B0D19">
      <w:pPr>
        <w:pStyle w:val="Point10"/>
        <w:rPr>
          <w:noProof/>
        </w:rPr>
      </w:pPr>
      <w:bookmarkStart w:id="254" w:name="ai5j3n84p2q1ra1"/>
      <w:bookmarkStart w:id="255" w:name="ai5j3n84p2q1ra1q1"/>
      <w:r>
        <w:rPr>
          <w:noProof/>
        </w:rPr>
        <w:t>α)</w:t>
      </w:r>
      <w:r>
        <w:rPr>
          <w:noProof/>
        </w:rPr>
        <w:tab/>
        <w:t>τον αριθμό των επιχειρήσεων που θα ελεγχθούν και την κατανομή τους ανά τομέα, με βάση τα σχετικά ποσά·</w:t>
      </w:r>
      <w:bookmarkEnd w:id="254"/>
      <w:bookmarkEnd w:id="255"/>
    </w:p>
    <w:p w:rsidR="00A57BFD" w:rsidRDefault="005B0D19">
      <w:pPr>
        <w:pStyle w:val="Point10"/>
        <w:rPr>
          <w:noProof/>
        </w:rPr>
      </w:pPr>
      <w:bookmarkStart w:id="256" w:name="ai5j3n84p2q1ra2"/>
      <w:bookmarkStart w:id="257" w:name="ai5j3n84p2q1ra2q1"/>
      <w:r>
        <w:rPr>
          <w:noProof/>
        </w:rPr>
        <w:lastRenderedPageBreak/>
        <w:t>β)</w:t>
      </w:r>
      <w:r>
        <w:rPr>
          <w:noProof/>
        </w:rPr>
        <w:tab/>
        <w:t>τα κριτήρια που έχουν ληφθεί υπόψη για την κατάρτιση αυτού του προγράμματος.</w:t>
      </w:r>
      <w:bookmarkEnd w:id="252"/>
      <w:bookmarkEnd w:id="253"/>
      <w:bookmarkEnd w:id="256"/>
      <w:bookmarkEnd w:id="257"/>
    </w:p>
    <w:p w:rsidR="00A57BFD" w:rsidRDefault="005B0D19">
      <w:pPr>
        <w:pStyle w:val="ManualNumPar1"/>
        <w:rPr>
          <w:noProof/>
        </w:rPr>
      </w:pPr>
      <w:bookmarkStart w:id="258" w:name="ai5j3n84p3"/>
      <w:bookmarkStart w:id="259" w:name="ai5j3n84p3q1"/>
      <w:r>
        <w:t>3.</w:t>
      </w:r>
      <w:r>
        <w:tab/>
      </w:r>
      <w:r>
        <w:rPr>
          <w:noProof/>
        </w:rPr>
        <w:t>Τα προγράμματα που καταρτίζονται από τα κράτη μέλη και διαβιβάζονται στην Επιτροπή εφαρμόζονται από τα κράτη μέλη εάν, εντός προθεσμίας οκτώ εβδομάδων, η Επιτροπή δεν γνωστοποιήσει τυχόν παρατηρήσεις της.</w:t>
      </w:r>
      <w:bookmarkEnd w:id="258"/>
      <w:bookmarkEnd w:id="259"/>
    </w:p>
    <w:p w:rsidR="00A57BFD" w:rsidRDefault="005B0D19">
      <w:pPr>
        <w:pStyle w:val="ManualNumPar1"/>
        <w:rPr>
          <w:noProof/>
        </w:rPr>
      </w:pPr>
      <w:bookmarkStart w:id="260" w:name="ai5j3n84p4"/>
      <w:bookmarkStart w:id="261" w:name="ai5j3n84p4q1"/>
      <w:r>
        <w:t>4.</w:t>
      </w:r>
      <w:r>
        <w:tab/>
      </w:r>
      <w:r>
        <w:rPr>
          <w:noProof/>
        </w:rPr>
        <w:t>Η παράγραφος 3 εφαρμόζεται τηρουμένων των αναλογιών στις τροποποιήσεις που επιφέρουν στο πρόγραμμα τα κράτη μέλη.</w:t>
      </w:r>
      <w:bookmarkEnd w:id="260"/>
      <w:bookmarkEnd w:id="261"/>
    </w:p>
    <w:p w:rsidR="00A57BFD" w:rsidRDefault="005B0D19">
      <w:pPr>
        <w:pStyle w:val="ManualNumPar1"/>
        <w:rPr>
          <w:noProof/>
        </w:rPr>
      </w:pPr>
      <w:bookmarkStart w:id="262" w:name="ai5j3n84p5"/>
      <w:bookmarkStart w:id="263" w:name="ai5j3n84p5q1"/>
      <w:r>
        <w:t>5.</w:t>
      </w:r>
      <w:r>
        <w:tab/>
      </w:r>
      <w:r>
        <w:rPr>
          <w:noProof/>
        </w:rPr>
        <w:t>Η Επιτροπή μπορεί, σε οποιοδήποτε στάδιο, να ζητεί να συμπεριληφθεί στο πρόγραμμα κράτους μέλους μια ιδιαίτερη κατηγορία επιχειρήσεων.</w:t>
      </w:r>
      <w:bookmarkEnd w:id="262"/>
      <w:bookmarkEnd w:id="263"/>
    </w:p>
    <w:p w:rsidR="00A57BFD" w:rsidRDefault="005B0D19">
      <w:pPr>
        <w:pStyle w:val="ManualNumPar1"/>
        <w:rPr>
          <w:noProof/>
        </w:rPr>
      </w:pPr>
      <w:bookmarkStart w:id="264" w:name="ai5j3n84p6"/>
      <w:bookmarkStart w:id="265" w:name="ai5j3n84p6q1"/>
      <w:r>
        <w:t>6.</w:t>
      </w:r>
      <w:r>
        <w:tab/>
      </w:r>
      <w:r>
        <w:rPr>
          <w:noProof/>
        </w:rPr>
        <w:t xml:space="preserve">Οι επιχειρήσεις των οποίων το άθροισμα των εισπράξεων ή των οφειλών ήταν κατώτερο των 40 000 ευρώ ελέγχονται, κατ’ εφαρμογή του παρόντος κεφαλαίου, μόνο για ειδικούς λόγους που αναφέρουν τα κράτη μέλη στο ετήσιο πρόγραμμα που αναφέρεται στην παράγραφο  1 ή η Επιτροπή σε τυχόν προτεινόμενη τροποποίηση του προγράμματος αυτού. </w:t>
      </w:r>
    </w:p>
    <w:p w:rsidR="00A57BFD" w:rsidRDefault="005B0D19">
      <w:pPr>
        <w:pStyle w:val="Text1"/>
        <w:rPr>
          <w:noProof/>
        </w:rPr>
      </w:pPr>
      <w:r>
        <w:rPr>
          <w:noProof/>
        </w:rPr>
        <w:t>Ανατίθεται στην Επιτροπή η εξουσία να εκδίδει κατ’ εξουσιοδότηση πράξεις σύμφωνα με το άρθρο 101 για την τροποποίηση του κατωτάτου ορίου που καθορίζεται στο πρώτο εδάφιο.</w:t>
      </w:r>
      <w:bookmarkEnd w:id="249"/>
      <w:bookmarkEnd w:id="264"/>
      <w:bookmarkEnd w:id="265"/>
    </w:p>
    <w:p w:rsidR="00A57BFD" w:rsidRDefault="005B0D19">
      <w:pPr>
        <w:pStyle w:val="Titrearticle1"/>
        <w:rPr>
          <w:noProof/>
        </w:rPr>
      </w:pPr>
      <w:bookmarkStart w:id="266" w:name="ai5j3n85g"/>
      <w:bookmarkStart w:id="267" w:name="ai5j3n85"/>
      <w:r>
        <w:rPr>
          <w:noProof/>
        </w:rPr>
        <w:t>Άρθρο 80</w:t>
      </w:r>
      <w:r>
        <w:rPr>
          <w:noProof/>
        </w:rPr>
        <w:br/>
      </w:r>
      <w:r>
        <w:rPr>
          <w:b/>
          <w:noProof/>
        </w:rPr>
        <w:t>Ειδικές υπηρεσίες</w:t>
      </w:r>
    </w:p>
    <w:p w:rsidR="00A57BFD" w:rsidRDefault="005B0D19">
      <w:pPr>
        <w:pStyle w:val="ManualNumPar1"/>
        <w:rPr>
          <w:noProof/>
        </w:rPr>
      </w:pPr>
      <w:bookmarkStart w:id="268" w:name="ai5j3n85p1q1"/>
      <w:bookmarkStart w:id="269" w:name="ai5j3n85p1"/>
      <w:bookmarkEnd w:id="266"/>
      <w:r>
        <w:t>1.</w:t>
      </w:r>
      <w:r>
        <w:tab/>
      </w:r>
      <w:r>
        <w:rPr>
          <w:noProof/>
        </w:rPr>
        <w:t>Σε κάθε κράτος μέλος, για την παρακολούθηση της εφαρμογής του παρόντος κεφαλαίου υπεύθυνη είναι μια ειδική υπηρεσία. Οι υπηρεσίες αυτές είναι υπεύθυνες ιδίως για:</w:t>
      </w:r>
    </w:p>
    <w:p w:rsidR="00A57BFD" w:rsidRDefault="005B0D19">
      <w:pPr>
        <w:pStyle w:val="Point10"/>
        <w:rPr>
          <w:noProof/>
        </w:rPr>
      </w:pPr>
      <w:bookmarkStart w:id="270" w:name="ai5j3n85p1q1ra1"/>
      <w:bookmarkStart w:id="271" w:name="ai5j3n85p1q1ra1q1"/>
      <w:r>
        <w:rPr>
          <w:noProof/>
        </w:rPr>
        <w:t>α)</w:t>
      </w:r>
      <w:r>
        <w:rPr>
          <w:noProof/>
        </w:rPr>
        <w:tab/>
        <w:t>την εκτέλεση των ελέγχων του παρόντος κεφαλαίου από υπαλλήλους που απασχολούνται άμεσα από αυτή την ειδική υπηρεσία· ή</w:t>
      </w:r>
      <w:bookmarkEnd w:id="270"/>
      <w:bookmarkEnd w:id="271"/>
    </w:p>
    <w:p w:rsidR="00A57BFD" w:rsidRDefault="005B0D19">
      <w:pPr>
        <w:pStyle w:val="Point10"/>
        <w:rPr>
          <w:noProof/>
        </w:rPr>
      </w:pPr>
      <w:bookmarkStart w:id="272" w:name="ai5j3n85p1q1ra2"/>
      <w:bookmarkStart w:id="273" w:name="ai5j3n85p1q1ra2q1"/>
      <w:r>
        <w:rPr>
          <w:noProof/>
        </w:rPr>
        <w:t>β)</w:t>
      </w:r>
      <w:r>
        <w:rPr>
          <w:noProof/>
        </w:rPr>
        <w:tab/>
        <w:t>τον συντονισμό και τη γενική εποπτεία των ελέγχων που διενεργούνται από υπαλλήλους που ανήκουν σε άλλες υπηρεσίες.</w:t>
      </w:r>
      <w:bookmarkEnd w:id="268"/>
      <w:bookmarkEnd w:id="272"/>
      <w:bookmarkEnd w:id="273"/>
    </w:p>
    <w:p w:rsidR="00A57BFD" w:rsidRDefault="005B0D19">
      <w:pPr>
        <w:pStyle w:val="Text1"/>
        <w:rPr>
          <w:noProof/>
        </w:rPr>
      </w:pPr>
      <w:bookmarkStart w:id="274" w:name="ai5j3n85p1q2"/>
      <w:r>
        <w:rPr>
          <w:noProof/>
        </w:rPr>
        <w:t>Τα κράτη μέλη μπορούν, επίσης, να προβλέψουν κατανομή των ελέγχων που πρέπει να διενεργούνται κατ’ εφαρμογή του παρόντος κεφαλαίου μεταξύ ειδικών υπηρεσιών και άλλων εθνικών υπηρεσιών, εφόσον οι ειδικές υπηρεσίες είναι αρμόδιες για τον συντονισμό τους.</w:t>
      </w:r>
      <w:bookmarkEnd w:id="269"/>
      <w:bookmarkEnd w:id="274"/>
    </w:p>
    <w:p w:rsidR="00A57BFD" w:rsidRDefault="005B0D19">
      <w:pPr>
        <w:pStyle w:val="ManualNumPar1"/>
        <w:rPr>
          <w:noProof/>
        </w:rPr>
      </w:pPr>
      <w:bookmarkStart w:id="275" w:name="ai5j3n85p2"/>
      <w:bookmarkStart w:id="276" w:name="ai5j3n85p2q1"/>
      <w:r>
        <w:t>2.</w:t>
      </w:r>
      <w:r>
        <w:tab/>
      </w:r>
      <w:r>
        <w:rPr>
          <w:noProof/>
        </w:rPr>
        <w:t>Η υπηρεσία ή οι υπηρεσίες που είναι υπεύθυνες για την εφαρμογή του παρόντος κεφαλαίου είναι οργανωμένες κατά τρόπο ώστε να είναι ανεξάρτητες από τις υπηρεσίες ή τα τμήματα υπηρεσιών που έχουν την ευθύνη των πληρωμών και των ελέγχων που διενεργούνται πριν από αυτές.</w:t>
      </w:r>
      <w:bookmarkEnd w:id="275"/>
      <w:bookmarkEnd w:id="276"/>
    </w:p>
    <w:p w:rsidR="00A57BFD" w:rsidRDefault="005B0D19">
      <w:pPr>
        <w:pStyle w:val="ManualNumPar1"/>
        <w:rPr>
          <w:noProof/>
        </w:rPr>
      </w:pPr>
      <w:bookmarkStart w:id="277" w:name="ai5j3n85p3"/>
      <w:bookmarkStart w:id="278" w:name="ai5j3n85p3q1"/>
      <w:r>
        <w:t>3.</w:t>
      </w:r>
      <w:r>
        <w:tab/>
      </w:r>
      <w:r>
        <w:rPr>
          <w:noProof/>
        </w:rPr>
        <w:t>Η ειδική υπηρεσία που αναφέρεται στην παράγραφο 1 λαμβάνει όλα τα αναγκαία μέτρα και το οικείο κράτος μέλος παρέχει στην ειδική υπηρεσία κάθε εξουσία που είναι αναγκαία για την εκπλήρωση των καθηκόντων που αναφέρονται στο παρόν κεφάλαιο.</w:t>
      </w:r>
      <w:bookmarkEnd w:id="277"/>
      <w:bookmarkEnd w:id="278"/>
    </w:p>
    <w:p w:rsidR="00A57BFD" w:rsidRDefault="005B0D19">
      <w:pPr>
        <w:pStyle w:val="ManualNumPar1"/>
        <w:rPr>
          <w:noProof/>
        </w:rPr>
      </w:pPr>
      <w:bookmarkStart w:id="279" w:name="ai5j3n85p4"/>
      <w:bookmarkStart w:id="280" w:name="ai5j3n85p4q1"/>
      <w:r>
        <w:t>4.</w:t>
      </w:r>
      <w:r>
        <w:tab/>
      </w:r>
      <w:r>
        <w:rPr>
          <w:noProof/>
        </w:rPr>
        <w:t>Τα κράτη μέλη λαμβάνουν τα κατάλληλα μέτρα για την επιβολή κυρώσεων κατά των φυσικών ή νομικών προσώπων που δεν τηρούν τις υποχρεώσεις τους όπως προβλέπονται στον παρόν κεφάλαιο.</w:t>
      </w:r>
      <w:bookmarkEnd w:id="267"/>
      <w:bookmarkEnd w:id="279"/>
      <w:bookmarkEnd w:id="280"/>
    </w:p>
    <w:p w:rsidR="00A57BFD" w:rsidRDefault="005B0D19">
      <w:pPr>
        <w:pStyle w:val="Titrearticle1"/>
        <w:rPr>
          <w:noProof/>
        </w:rPr>
      </w:pPr>
      <w:bookmarkStart w:id="281" w:name="ai5j3n86g"/>
      <w:bookmarkStart w:id="282" w:name="ai5j3n86"/>
      <w:r>
        <w:rPr>
          <w:noProof/>
        </w:rPr>
        <w:lastRenderedPageBreak/>
        <w:t>Άρθρο 81</w:t>
      </w:r>
      <w:r>
        <w:rPr>
          <w:noProof/>
        </w:rPr>
        <w:br/>
      </w:r>
      <w:r>
        <w:rPr>
          <w:b/>
          <w:noProof/>
        </w:rPr>
        <w:t>Εκθέσεις</w:t>
      </w:r>
      <w:r>
        <w:rPr>
          <w:noProof/>
        </w:rPr>
        <w:t> </w:t>
      </w:r>
      <w:bookmarkEnd w:id="281"/>
    </w:p>
    <w:p w:rsidR="00A57BFD" w:rsidRDefault="005B0D19">
      <w:pPr>
        <w:pStyle w:val="ManualNumPar1"/>
        <w:rPr>
          <w:noProof/>
        </w:rPr>
      </w:pPr>
      <w:bookmarkStart w:id="283" w:name="ai5j3n86p1"/>
      <w:bookmarkStart w:id="284" w:name="ai5j3n86p1q1"/>
      <w:r>
        <w:t>1.</w:t>
      </w:r>
      <w:r>
        <w:tab/>
      </w:r>
      <w:r>
        <w:rPr>
          <w:noProof/>
        </w:rPr>
        <w:t>Πριν από την 1η Ιανουαρίου που έπεται της περιόδου ελέγχου, τα κράτη μέλη διαβιβάζουν στην Επιτροπή λεπτομερή έκθεση σχετικά με την εφαρμογή του παρόντος κεφαλαίου.</w:t>
      </w:r>
      <w:bookmarkEnd w:id="283"/>
      <w:bookmarkEnd w:id="284"/>
    </w:p>
    <w:p w:rsidR="00A57BFD" w:rsidRDefault="005B0D19">
      <w:pPr>
        <w:pStyle w:val="Text1"/>
        <w:rPr>
          <w:noProof/>
        </w:rPr>
      </w:pPr>
      <w:r>
        <w:rPr>
          <w:noProof/>
        </w:rPr>
        <w:t>Η έκθεση που αναφέρεται στο πρώτο εδάφιο περιέχει επίσης επισκόπηση των ειδικών αιτήσεων ελέγχου που αναφέρονται στο άρθρο 78 παράγραφος 3</w:t>
      </w:r>
      <w:r>
        <w:rPr>
          <w:b/>
          <w:noProof/>
        </w:rPr>
        <w:t xml:space="preserve"> </w:t>
      </w:r>
      <w:r>
        <w:rPr>
          <w:noProof/>
        </w:rPr>
        <w:t>και των αποτελεσμάτων του ελέγχου που διενεργήθηκε κατόπιν των αιτήσεων αυτών.</w:t>
      </w:r>
    </w:p>
    <w:p w:rsidR="00A57BFD" w:rsidRDefault="005B0D19">
      <w:pPr>
        <w:pStyle w:val="ManualNumPar1"/>
        <w:rPr>
          <w:noProof/>
        </w:rPr>
      </w:pPr>
      <w:bookmarkStart w:id="285" w:name="ai5j3n86p2"/>
      <w:bookmarkStart w:id="286" w:name="ai5j3n86p2q1"/>
      <w:r>
        <w:t>2.</w:t>
      </w:r>
      <w:r>
        <w:tab/>
      </w:r>
      <w:r>
        <w:rPr>
          <w:noProof/>
        </w:rPr>
        <w:t>Τα κράτη μέλη και η Επιτροπή προβαίνουν τακτικά σε ανταλλαγή απόψεων σχετικά με την εφαρμογή του παρόντος κεφαλαίου.</w:t>
      </w:r>
      <w:bookmarkEnd w:id="282"/>
      <w:bookmarkEnd w:id="285"/>
      <w:bookmarkEnd w:id="286"/>
    </w:p>
    <w:p w:rsidR="00A57BFD" w:rsidRDefault="005B0D19">
      <w:pPr>
        <w:pStyle w:val="Titrearticle1"/>
        <w:rPr>
          <w:noProof/>
        </w:rPr>
      </w:pPr>
      <w:bookmarkStart w:id="287" w:name="ai5j3n87g"/>
      <w:bookmarkStart w:id="288" w:name="ai5j3n87"/>
      <w:r>
        <w:rPr>
          <w:noProof/>
        </w:rPr>
        <w:t>Άρθρο 82</w:t>
      </w:r>
      <w:r>
        <w:rPr>
          <w:noProof/>
        </w:rPr>
        <w:br/>
      </w:r>
      <w:r>
        <w:rPr>
          <w:b/>
          <w:noProof/>
        </w:rPr>
        <w:t>Πρόσβαση σε στοιχεία και έλεγχοι της Επιτροπής</w:t>
      </w:r>
      <w:bookmarkEnd w:id="287"/>
    </w:p>
    <w:p w:rsidR="00A57BFD" w:rsidRDefault="005B0D19">
      <w:pPr>
        <w:pStyle w:val="ManualNumPar1"/>
        <w:rPr>
          <w:noProof/>
        </w:rPr>
      </w:pPr>
      <w:bookmarkStart w:id="289" w:name="ai5j3n87p1"/>
      <w:bookmarkStart w:id="290" w:name="ai5j3n87p1q1"/>
      <w:r>
        <w:t>1.</w:t>
      </w:r>
      <w:r>
        <w:tab/>
      </w:r>
      <w:r>
        <w:rPr>
          <w:noProof/>
        </w:rPr>
        <w:t>Σύμφωνα με τις σχετικές εθνικές νομοθετικές διατάξεις, οι υπάλληλοι της Επιτροπής έχουν πρόσβαση στο σύνολο των εγγράφων που καταρτίζονται ενόψει ή κατόπιν των ελέγχων που οργανώνονται στο πλαίσιο του παρόντος κεφαλαίου καθώς και στα στοιχεία που συλλέγονται, συμπεριλαμβανομένων όσων αποθηκεύονται σε συστήματα επεξεργασίας δεδομένων. Τα στοιχεία αυτά παρέχονται, κατόπιν αίτησης, σε κατάλληλο υπόθεμα.</w:t>
      </w:r>
      <w:bookmarkEnd w:id="289"/>
      <w:bookmarkEnd w:id="290"/>
    </w:p>
    <w:p w:rsidR="00A57BFD" w:rsidRDefault="005B0D19">
      <w:pPr>
        <w:pStyle w:val="ManualNumPar1"/>
        <w:rPr>
          <w:noProof/>
        </w:rPr>
      </w:pPr>
      <w:bookmarkStart w:id="291" w:name="ai5j3n87p2"/>
      <w:bookmarkStart w:id="292" w:name="ai5j3n87p2q1"/>
      <w:r>
        <w:t>2.</w:t>
      </w:r>
      <w:r>
        <w:tab/>
      </w:r>
      <w:r>
        <w:rPr>
          <w:noProof/>
        </w:rPr>
        <w:t>Οι έλεγχοι που αναφέρονται στο άρθρο 75 διενεργούνται από υπαλλήλους του κράτους μέλους. Στους ελέγχους αυτούς μπορούν να συμμετέχουν υπάλληλοι της Επιτροπής. Οι υπάλληλοι αυτοί δεν μπορούν να ασκούν μόνοι τους εξουσίες ελέγχου που υπάγονται στην αρμοδιότητα των εθνικών υπαλλήλων. Ωστόσο, έχουν πρόσβαση στους ίδιους χώρους και στα ίδια έγγραφα όπως και οι υπάλληλοι του κράτους μέλους.</w:t>
      </w:r>
      <w:bookmarkEnd w:id="291"/>
      <w:bookmarkEnd w:id="292"/>
    </w:p>
    <w:p w:rsidR="00A57BFD" w:rsidRDefault="005B0D19">
      <w:pPr>
        <w:pStyle w:val="ManualNumPar1"/>
        <w:rPr>
          <w:noProof/>
        </w:rPr>
      </w:pPr>
      <w:bookmarkStart w:id="293" w:name="ai5j3n87p3q1"/>
      <w:bookmarkStart w:id="294" w:name="ai5j3n87p3"/>
      <w:r>
        <w:t>3.</w:t>
      </w:r>
      <w:r>
        <w:tab/>
      </w:r>
      <w:r>
        <w:rPr>
          <w:noProof/>
        </w:rPr>
        <w:t>Στην περίπτωση ελέγχων που διενεργούνται σύμφωνα με το άρθρο 78, οι υπάλληλοι του κράτους μέλους που υπέβαλε την αίτηση μπορούν να παρευρίσκονται, εφόσον συμφωνεί το κράτος μέλος στο οποίο απευθύνεται η αίτηση, στους ελέγχους που διενεργούνται στο κράτος μέλος στο οποίο απευθύνεται η αίτηση και να έχουν πρόσβαση τους ίδιους χώρους και στα ίδια έγγραφα όπως και οι υπάλληλοι του εν λόγω κράτους μέλους.</w:t>
      </w:r>
      <w:bookmarkEnd w:id="293"/>
    </w:p>
    <w:p w:rsidR="00A57BFD" w:rsidRDefault="005B0D19">
      <w:pPr>
        <w:pStyle w:val="Text1"/>
        <w:rPr>
          <w:noProof/>
        </w:rPr>
      </w:pPr>
      <w:bookmarkStart w:id="295" w:name="ai5j3n87p3q2"/>
      <w:r>
        <w:rPr>
          <w:noProof/>
        </w:rPr>
        <w:t>Οι υπάλληλοι του αιτούντος κράτους μέλους, οι οποίοι παρευρίσκονται κατά τους ελέγχους στο κράτος μέλος στο οποίο απευθύνεται η αίτηση, είναι πάντοτε σε θέση να παρέχουν αποδείξεις σχετικά με την επίσημη ιδιότητά τους. Οι έλεγχοι διενεργούνται πάντοτε από υπαλλήλους του κράτους μέλους στο οποίο απευθύνεται η αίτηση.</w:t>
      </w:r>
      <w:bookmarkEnd w:id="294"/>
      <w:bookmarkEnd w:id="295"/>
    </w:p>
    <w:p w:rsidR="00A57BFD" w:rsidRDefault="005B0D19">
      <w:pPr>
        <w:pStyle w:val="ManualNumPar1"/>
        <w:rPr>
          <w:noProof/>
        </w:rPr>
      </w:pPr>
      <w:bookmarkStart w:id="296" w:name="ai5j3n87p4"/>
      <w:bookmarkStart w:id="297" w:name="ai5j3n87p4q1"/>
      <w:r>
        <w:t>4.</w:t>
      </w:r>
      <w:r>
        <w:tab/>
      </w:r>
      <w:r>
        <w:rPr>
          <w:noProof/>
        </w:rPr>
        <w:t>Με την επιφύλαξη των διατάξεων των κανονισμών (ΕΕ, Ευρατόμ) αριθ. 883/2013, (Ευρατόμ, ΕΚ) αριθ. 2988/95, (Ευρατόμ, ΕΚ) αριθ. 2185/96 και (ΕΕ) 2017/1939, στο μέτρο που οι σχετικές εθνικές διατάξεις ποινικής δικονομίας βάσει των οποίων ορισμένες πράξεις ανατίθενται αποκλειστικά σε υπαλλήλους ειδικά οριζόμενους από το εθνικό δίκαιο, δεν συμμετέχουν σε αυτές τις πράξεις ούτε οι υπάλληλοι της Επιτροπής ούτε οι υπάλληλοι του κράτους μέλους που αναφέρονται στην παράγραφο 3. Σε κάθε περίπτωση, δεν συμμετέχουν, ιδίως, σε κατ’ οίκον έρευνα ή σε επίσημη ανάκριση προσώπων στο πλαίσιο εφαρμογής του ποινικού δικαίου του κράτους μέλους. Ωστόσο, έχουν πρόσβαση στις πληροφορίες που συγκεντρώνονται κατ’ αυτόν τον τρόπο.</w:t>
      </w:r>
      <w:bookmarkEnd w:id="288"/>
      <w:bookmarkEnd w:id="296"/>
      <w:bookmarkEnd w:id="297"/>
    </w:p>
    <w:p w:rsidR="00A57BFD" w:rsidRDefault="005B0D19">
      <w:pPr>
        <w:pStyle w:val="Titrearticle1"/>
        <w:rPr>
          <w:noProof/>
        </w:rPr>
      </w:pPr>
      <w:bookmarkStart w:id="298" w:name="ai5j3n88g"/>
      <w:bookmarkStart w:id="299" w:name="ai5j3n88"/>
      <w:r>
        <w:rPr>
          <w:noProof/>
        </w:rPr>
        <w:lastRenderedPageBreak/>
        <w:t>Άρθρο 83</w:t>
      </w:r>
      <w:r>
        <w:rPr>
          <w:noProof/>
        </w:rPr>
        <w:br/>
      </w:r>
      <w:r>
        <w:rPr>
          <w:b/>
          <w:noProof/>
        </w:rPr>
        <w:t>Εκτελεστικές αρμοδιότητες</w:t>
      </w:r>
      <w:r>
        <w:rPr>
          <w:noProof/>
        </w:rPr>
        <w:t> </w:t>
      </w:r>
    </w:p>
    <w:p w:rsidR="00A57BFD" w:rsidRDefault="005B0D19">
      <w:pPr>
        <w:rPr>
          <w:noProof/>
        </w:rPr>
      </w:pPr>
      <w:bookmarkStart w:id="300" w:name="ai5j3n88q1"/>
      <w:bookmarkEnd w:id="298"/>
      <w:r>
        <w:rPr>
          <w:noProof/>
        </w:rPr>
        <w:t>Η Επιτροπή εκδίδει εκτελεστικές πράξεις για τον καθορισμό των απαραίτητων κανόνων για την ομοιόμορφη εφαρμογή του παρόντος κεφαλαίου, και ιδίως όσον αφορά τα ακόλουθα:</w:t>
      </w:r>
    </w:p>
    <w:p w:rsidR="00A57BFD" w:rsidRDefault="005B0D19">
      <w:pPr>
        <w:pStyle w:val="Point0"/>
        <w:rPr>
          <w:noProof/>
        </w:rPr>
      </w:pPr>
      <w:bookmarkStart w:id="301" w:name="ai5j3n88q1ra1"/>
      <w:bookmarkStart w:id="302" w:name="ai5j3n88q1ra1q1"/>
      <w:r>
        <w:rPr>
          <w:noProof/>
        </w:rPr>
        <w:t>α)</w:t>
      </w:r>
      <w:r>
        <w:rPr>
          <w:noProof/>
        </w:rPr>
        <w:tab/>
        <w:t>τη διενέργεια του ελέγχου που αναφέρεται στο άρθρο 75 όσον αφορά την επιλογή των επιχειρήσεων, το ποσοστό και το χρονοδιάγραμμα του ελέγχου·</w:t>
      </w:r>
      <w:bookmarkEnd w:id="301"/>
      <w:bookmarkEnd w:id="302"/>
    </w:p>
    <w:p w:rsidR="00A57BFD" w:rsidRDefault="005B0D19">
      <w:pPr>
        <w:pStyle w:val="Point0"/>
        <w:rPr>
          <w:noProof/>
        </w:rPr>
      </w:pPr>
      <w:bookmarkStart w:id="303" w:name="ai5j3n88q1ra2"/>
      <w:bookmarkStart w:id="304" w:name="ai5j3n88q1ra2q1"/>
      <w:r>
        <w:rPr>
          <w:noProof/>
        </w:rPr>
        <w:t>β)</w:t>
      </w:r>
      <w:r>
        <w:rPr>
          <w:noProof/>
        </w:rPr>
        <w:tab/>
        <w:t>τη φύλαξη των εμπορικών εγγράφων και το είδος των εγγράφων που πρέπει να φυλάσσονται ή τα στοιχεία που πρέπει να καταγράφονται·</w:t>
      </w:r>
      <w:bookmarkEnd w:id="303"/>
      <w:bookmarkEnd w:id="304"/>
    </w:p>
    <w:p w:rsidR="00A57BFD" w:rsidRDefault="005B0D19">
      <w:pPr>
        <w:pStyle w:val="Point0"/>
        <w:rPr>
          <w:noProof/>
        </w:rPr>
      </w:pPr>
      <w:bookmarkStart w:id="305" w:name="ai5j3n88q1ra3"/>
      <w:bookmarkStart w:id="306" w:name="ai5j3n88q1ra3q1"/>
      <w:r>
        <w:rPr>
          <w:noProof/>
        </w:rPr>
        <w:t>γ)</w:t>
      </w:r>
      <w:r>
        <w:rPr>
          <w:noProof/>
        </w:rPr>
        <w:tab/>
        <w:t>την υλοποίηση και τον συντονισμό των κοινών δράσεων που αναφέρονται στο άρθρο 78 παράγραφος 1·</w:t>
      </w:r>
      <w:bookmarkEnd w:id="305"/>
      <w:bookmarkEnd w:id="306"/>
    </w:p>
    <w:p w:rsidR="00A57BFD" w:rsidRDefault="005B0D19">
      <w:pPr>
        <w:pStyle w:val="Point0"/>
        <w:rPr>
          <w:noProof/>
        </w:rPr>
      </w:pPr>
      <w:bookmarkStart w:id="307" w:name="ai5j3n88q1ra4"/>
      <w:bookmarkStart w:id="308" w:name="ai5j3n88q1ra4q1"/>
      <w:r>
        <w:rPr>
          <w:noProof/>
        </w:rPr>
        <w:t>δ)</w:t>
      </w:r>
      <w:r>
        <w:rPr>
          <w:noProof/>
        </w:rPr>
        <w:tab/>
        <w:t>τις λεπτομέρειες και τις προδιαγραφές σχετικά με το περιεχόμενο, τη μορφή και τον τρόπο υποβολής των αιτήσεων, το περιεχόμενο, τη μορφή και τον τρόπο κοινοποίησης, υποβολής και ανταλλαγής των πληροφοριών που απαιτούνται στο πλαίσιο του παρόντος κεφαλαίου·</w:t>
      </w:r>
      <w:bookmarkEnd w:id="307"/>
      <w:bookmarkEnd w:id="308"/>
    </w:p>
    <w:p w:rsidR="00A57BFD" w:rsidRDefault="005B0D19">
      <w:pPr>
        <w:pStyle w:val="Point0"/>
        <w:rPr>
          <w:noProof/>
        </w:rPr>
      </w:pPr>
      <w:bookmarkStart w:id="309" w:name="ai5j3n88q1ra5"/>
      <w:bookmarkStart w:id="310" w:name="ai5j3n88q1ra5q1"/>
      <w:r>
        <w:rPr>
          <w:noProof/>
        </w:rPr>
        <w:t>ε)</w:t>
      </w:r>
      <w:r>
        <w:rPr>
          <w:noProof/>
        </w:rPr>
        <w:tab/>
        <w:t>τους όρους και τα μέσα δημοσίευσης ή τους συγκεκριμένους κανόνες και τις προϋποθέσεις για τη διάδοση ή τη διάθεση από την Επιτροπή στις αρμόδιες αρχές των κρατών μελών των πληροφοριών που απαιτούνται στο πλαίσιο του παρόντος κανονισμού·</w:t>
      </w:r>
      <w:bookmarkEnd w:id="309"/>
      <w:bookmarkEnd w:id="310"/>
    </w:p>
    <w:p w:rsidR="00A57BFD" w:rsidRDefault="005B0D19">
      <w:pPr>
        <w:pStyle w:val="Point0"/>
        <w:rPr>
          <w:noProof/>
        </w:rPr>
      </w:pPr>
      <w:bookmarkStart w:id="311" w:name="ai5j3n88q1ra6"/>
      <w:bookmarkStart w:id="312" w:name="ai5j3n88q1ra6q1"/>
      <w:r>
        <w:rPr>
          <w:noProof/>
        </w:rPr>
        <w:t>στ)</w:t>
      </w:r>
      <w:r>
        <w:rPr>
          <w:noProof/>
        </w:rPr>
        <w:tab/>
        <w:t>τις αρμοδιότητες της ειδικής υπηρεσίας που αναφέρεται στο άρθρο 80·</w:t>
      </w:r>
      <w:bookmarkEnd w:id="311"/>
      <w:bookmarkEnd w:id="312"/>
    </w:p>
    <w:p w:rsidR="00A57BFD" w:rsidRDefault="005B0D19">
      <w:pPr>
        <w:pStyle w:val="Point0"/>
        <w:rPr>
          <w:noProof/>
        </w:rPr>
      </w:pPr>
      <w:bookmarkStart w:id="313" w:name="ai5j3n88q1ra7"/>
      <w:bookmarkStart w:id="314" w:name="ai5j3n88q1ra7q1"/>
      <w:r>
        <w:rPr>
          <w:noProof/>
        </w:rPr>
        <w:t>ζ)</w:t>
      </w:r>
      <w:r>
        <w:rPr>
          <w:noProof/>
        </w:rPr>
        <w:tab/>
        <w:t>το περιεχόμενο των εκθέσεων που αναφέρονται στο άρθρο 81, καθώς και κάθε άλλη γνωστοποίηση που απαιτείται δυνάμει του παρόντος κεφαλαίου.</w:t>
      </w:r>
      <w:bookmarkEnd w:id="300"/>
      <w:bookmarkEnd w:id="313"/>
      <w:bookmarkEnd w:id="314"/>
    </w:p>
    <w:p w:rsidR="00A57BFD" w:rsidRDefault="005B0D19">
      <w:pPr>
        <w:rPr>
          <w:noProof/>
        </w:rPr>
      </w:pPr>
      <w:bookmarkStart w:id="315" w:name="ai5j3n88q2"/>
      <w:r>
        <w:rPr>
          <w:noProof/>
        </w:rPr>
        <w:t>Οι εν λόγω εκτελεστικές πράξεις εκδίδονται σύμφωνα με τη διαδικασία εξέτασης που προβλέπεται στο άρθρο</w:t>
      </w:r>
      <w:bookmarkEnd w:id="299"/>
      <w:bookmarkEnd w:id="315"/>
      <w:r>
        <w:rPr>
          <w:noProof/>
        </w:rPr>
        <w:t> 101 παράγραφος 3.</w:t>
      </w:r>
    </w:p>
    <w:p w:rsidR="00A57BFD" w:rsidRDefault="005B0D19">
      <w:pPr>
        <w:pStyle w:val="ChapterTitle0"/>
        <w:rPr>
          <w:noProof/>
        </w:rPr>
      </w:pPr>
      <w:r>
        <w:rPr>
          <w:noProof/>
        </w:rPr>
        <w:t>Κεφάλαιο IV</w:t>
      </w:r>
      <w:r>
        <w:rPr>
          <w:noProof/>
        </w:rPr>
        <w:br/>
        <w:t>Σύστημα ελέγχου και κυρώσεις σχετικά με τις προϋποθέσεις</w:t>
      </w:r>
    </w:p>
    <w:p w:rsidR="00A57BFD" w:rsidRDefault="005B0D19">
      <w:pPr>
        <w:pStyle w:val="Titrearticle1"/>
        <w:rPr>
          <w:noProof/>
        </w:rPr>
      </w:pPr>
      <w:bookmarkStart w:id="316" w:name="ai6j2n96g"/>
      <w:bookmarkStart w:id="317" w:name="ai6j2n96"/>
      <w:r>
        <w:rPr>
          <w:noProof/>
        </w:rPr>
        <w:t>Άρθρο 84</w:t>
      </w:r>
      <w:r>
        <w:rPr>
          <w:noProof/>
        </w:rPr>
        <w:br/>
      </w:r>
      <w:r>
        <w:rPr>
          <w:b/>
          <w:noProof/>
        </w:rPr>
        <w:t>Σύστημα ελέγχου προϋποθέσεων</w:t>
      </w:r>
    </w:p>
    <w:p w:rsidR="00A57BFD" w:rsidRDefault="005B0D19">
      <w:pPr>
        <w:pStyle w:val="ManualNumPar1"/>
        <w:rPr>
          <w:noProof/>
        </w:rPr>
      </w:pPr>
      <w:bookmarkStart w:id="318" w:name="ai6j2n97g"/>
      <w:bookmarkStart w:id="319" w:name="ai6j2n97"/>
      <w:bookmarkEnd w:id="316"/>
      <w:bookmarkEnd w:id="317"/>
      <w:r>
        <w:t>1.</w:t>
      </w:r>
      <w:r>
        <w:tab/>
      </w:r>
      <w:r>
        <w:rPr>
          <w:noProof/>
        </w:rPr>
        <w:t>Τα κράτη μέλη θεσπίζουν σύστημα ελέγχου που εξασφαλίζει ότι οι δικαιούχοι των ενισχύσεων που αναφέρονται στο άρθρο 11 του κανονισμού (ΕΕ) …/… [κανονισμός για το στρατηγικό σχέδιο της ΚΓΠ]</w:t>
      </w:r>
      <w:r>
        <w:rPr>
          <w:b/>
          <w:noProof/>
        </w:rPr>
        <w:t xml:space="preserve"> </w:t>
      </w:r>
      <w:r>
        <w:rPr>
          <w:noProof/>
        </w:rPr>
        <w:t>και στο κεφάλαιο IV του κανονισμού (ΕΕ) αριθ. 228/2013 και στο κεφάλαιο IV του κανονισμού (ΕΕ) αριθ. 229/2013, αντιστοίχως, συμμορφώνονται με τις υποχρεώσεις που αναφέρονται στο τμήμα 2 του κεφαλαίου 1 του τίτλου III του κανονισμού (ΕΕ) …/… [κανονισμός για το στρατηγικό σχέδιο της ΚΓΠ].</w:t>
      </w:r>
    </w:p>
    <w:p w:rsidR="00A57BFD" w:rsidRDefault="005B0D19">
      <w:pPr>
        <w:pStyle w:val="Text1"/>
        <w:rPr>
          <w:noProof/>
        </w:rPr>
      </w:pPr>
      <w:r>
        <w:rPr>
          <w:noProof/>
        </w:rPr>
        <w:t>Τα κράτη μέλη μπορούν να χρησιμοποιήσουν τα υφιστάμενα συστήματα διαχείρισης και ελέγχου, προκειμένου να εξασφαλίσουν την τήρηση των κανόνων σχετικά με τις προϋποθέσεις.</w:t>
      </w:r>
    </w:p>
    <w:p w:rsidR="00A57BFD" w:rsidRDefault="005B0D19">
      <w:pPr>
        <w:pStyle w:val="Text1"/>
        <w:rPr>
          <w:noProof/>
        </w:rPr>
      </w:pPr>
      <w:r>
        <w:rPr>
          <w:noProof/>
        </w:rPr>
        <w:t>Τα συστήματα αυτά είναι συμβατά με το σύστημα ελέγχου που αναφέρεται στο πρώτο εδάφιο της παρούσας παραγράφου.</w:t>
      </w:r>
    </w:p>
    <w:p w:rsidR="00A57BFD" w:rsidRDefault="005B0D19">
      <w:pPr>
        <w:pStyle w:val="Text1"/>
        <w:rPr>
          <w:noProof/>
        </w:rPr>
      </w:pPr>
      <w:r>
        <w:rPr>
          <w:noProof/>
        </w:rPr>
        <w:t>Τα κράτη μέλη διενεργούν ετήσια επανεξέταση του συστήματος ελέγχου που αναφέρεται στο πρώτο εδάφιο, λαμβάνοντας υπόψη τα επιτευχθέντα αποτελέσματα.</w:t>
      </w:r>
    </w:p>
    <w:p w:rsidR="00A57BFD" w:rsidRDefault="005B0D19">
      <w:pPr>
        <w:pStyle w:val="ManualNumPar1"/>
        <w:rPr>
          <w:noProof/>
        </w:rPr>
      </w:pPr>
      <w:r>
        <w:t>2.</w:t>
      </w:r>
      <w:r>
        <w:tab/>
      </w:r>
      <w:r>
        <w:rPr>
          <w:noProof/>
        </w:rPr>
        <w:t>Για τους σκοπούς του παρόντος κεφαλαίου, ισχύουν οι ακόλουθοι ορισμοί:</w:t>
      </w:r>
    </w:p>
    <w:p w:rsidR="00A57BFD" w:rsidRDefault="005B0D19">
      <w:pPr>
        <w:pStyle w:val="Point10"/>
        <w:rPr>
          <w:noProof/>
        </w:rPr>
      </w:pPr>
      <w:r>
        <w:rPr>
          <w:noProof/>
        </w:rPr>
        <w:lastRenderedPageBreak/>
        <w:t>α)</w:t>
      </w:r>
      <w:r>
        <w:rPr>
          <w:noProof/>
        </w:rPr>
        <w:tab/>
        <w:t>«απαίτηση»: κάθε κανονιστική απαίτηση διαχείρισης βάσει της νομοθεσίας της Ένωσης που αναφέρεται στο άρθρο 11 του κανονισμού (ΕΕ) …/… [κανονισμός για το στρατηγικό σχέδιο της ΚΓΠ], στο πλαίσιο συγκεκριμένης πράξης, η οποία διαφέρει επί της ουσίας από οποιαδήποτε άλλη απαίτηση της ίδιας πράξης.</w:t>
      </w:r>
    </w:p>
    <w:p w:rsidR="00A57BFD" w:rsidRDefault="005B0D19">
      <w:pPr>
        <w:pStyle w:val="Point10"/>
        <w:rPr>
          <w:noProof/>
        </w:rPr>
      </w:pPr>
      <w:r>
        <w:rPr>
          <w:noProof/>
        </w:rPr>
        <w:t>β)</w:t>
      </w:r>
      <w:r>
        <w:rPr>
          <w:noProof/>
        </w:rPr>
        <w:tab/>
        <w:t>«πράξη»: καθεμία από τις επιμέρους οδηγίες και καθένας από τους κανονισμούς που αναφέρονται στο άρθρο 11 του κανονισμού (ΕΕ) …/… [κανονισμός για το στρατηγικό σχέδιο της ΚΓΠ].</w:t>
      </w:r>
      <w:bookmarkStart w:id="320" w:name="ai6j2n96p1"/>
    </w:p>
    <w:p w:rsidR="00A57BFD" w:rsidRDefault="005B0D19">
      <w:pPr>
        <w:pStyle w:val="NumPar10"/>
        <w:rPr>
          <w:noProof/>
        </w:rPr>
      </w:pPr>
      <w:r>
        <w:rPr>
          <w:noProof/>
        </w:rPr>
        <w:t>3.</w:t>
      </w:r>
      <w:r>
        <w:rPr>
          <w:noProof/>
        </w:rPr>
        <w:tab/>
      </w:r>
      <w:bookmarkStart w:id="321" w:name="ai6j2n96p1q1"/>
      <w:r>
        <w:rPr>
          <w:noProof/>
        </w:rPr>
        <w:t>Στο σύστημα ελέγχου τους που αναφέρεται στην παράγραφο 1, τα κράτη μέλη:</w:t>
      </w:r>
    </w:p>
    <w:p w:rsidR="00A57BFD" w:rsidRDefault="005B0D19">
      <w:pPr>
        <w:pStyle w:val="Point10"/>
        <w:rPr>
          <w:noProof/>
        </w:rPr>
      </w:pPr>
      <w:r>
        <w:rPr>
          <w:noProof/>
        </w:rPr>
        <w:t>α)</w:t>
      </w:r>
      <w:r>
        <w:rPr>
          <w:noProof/>
        </w:rPr>
        <w:tab/>
        <w:t>περιλαμβάνουν επιτόπιους ελέγχους για την επαλήθευση της συμμόρφωσης των δικαιούχων με τις υποχρεώσεις που ορίζονται στον τίτλο ΙΙΙ κεφάλαιο 1 τμήμα 2 του κανονισμού (ΕΕ) …/… [κανονισμός για το στρατηγικό σχέδιο της ΚΓΠ]·</w:t>
      </w:r>
    </w:p>
    <w:p w:rsidR="00A57BFD" w:rsidRDefault="005B0D19">
      <w:pPr>
        <w:pStyle w:val="Point10"/>
        <w:rPr>
          <w:noProof/>
        </w:rPr>
      </w:pPr>
      <w:r>
        <w:rPr>
          <w:noProof/>
        </w:rPr>
        <w:t>β)</w:t>
      </w:r>
      <w:r>
        <w:rPr>
          <w:noProof/>
        </w:rPr>
        <w:tab/>
        <w:t>ανάλογα με τις απαιτήσεις, τα πρότυπα, τις πράξεις ή τους τομείς προϋποθέσεων, μπορούν να αποφασίσουν να χρησιμοποιήσουν τους ελέγχους που διεξάγονται στο πλαίσιο των συστημάτων ελέγχου που ισχύουν για την αντίστοιχη απαίτηση, πρότυπο, πράξη ή τομέα προϋποθέσεων, υπό την προϋπόθεση ότι η αποτελεσματικότητα των ελέγχων αυτών είναι, τουλάχιστον, ίση με εκείνη των επιτόπιων ελέγχων που αναφέρονται στο στοιχείο α)·</w:t>
      </w:r>
    </w:p>
    <w:p w:rsidR="00A57BFD" w:rsidRDefault="005B0D19">
      <w:pPr>
        <w:pStyle w:val="Point10"/>
        <w:rPr>
          <w:noProof/>
        </w:rPr>
      </w:pPr>
      <w:r>
        <w:rPr>
          <w:noProof/>
        </w:rPr>
        <w:t>γ)</w:t>
      </w:r>
      <w:r>
        <w:rPr>
          <w:noProof/>
        </w:rPr>
        <w:tab/>
        <w:t>κατά περίπτωση, μπορούν να χρησιμοποιούν τηλεπισκόπηση ή το σύστημα παρακολούθησης εκτάσεων για να διενεργούν τους επιτόπιους ελέγχους που αναφέρονται στο στοιχείο α)·</w:t>
      </w:r>
    </w:p>
    <w:p w:rsidR="00A57BFD" w:rsidRDefault="005B0D19">
      <w:pPr>
        <w:pStyle w:val="Point10"/>
        <w:rPr>
          <w:noProof/>
        </w:rPr>
      </w:pPr>
      <w:r>
        <w:rPr>
          <w:noProof/>
        </w:rPr>
        <w:t>δ)</w:t>
      </w:r>
      <w:r>
        <w:rPr>
          <w:noProof/>
        </w:rPr>
        <w:tab/>
        <w:t>καταρτίζουν το δείγμα ελέγχου για τους ελέγχους που αναφέρονται στο στοιχείο β), οι οποίοι διενεργούνται κάθε έτος βάσει ανάλυσης κινδύνου, περιλαμβάνουν τυχαίο στοιχείο και φροντίζουν το δείγμα ελέγχου να καλύπτει τουλάχιστον το 1 % των δικαιούχων που λαμβάνουν την ενίσχυση που προβλέπεται στον τίτλο III κεφάλαιο 1 τμήμα 2 του κανονισμού (ΕΕ) …/… [κανονισμός για το στρατηγικό σχέδιο της ΚΓΠ].</w:t>
      </w:r>
    </w:p>
    <w:bookmarkEnd w:id="320"/>
    <w:bookmarkEnd w:id="321"/>
    <w:p w:rsidR="00A57BFD" w:rsidRDefault="005B0D19">
      <w:pPr>
        <w:pStyle w:val="Titrearticle1"/>
        <w:rPr>
          <w:b/>
          <w:noProof/>
        </w:rPr>
      </w:pPr>
      <w:r>
        <w:rPr>
          <w:noProof/>
        </w:rPr>
        <w:t>Άρθρο 85</w:t>
      </w:r>
      <w:r>
        <w:rPr>
          <w:noProof/>
        </w:rPr>
        <w:br/>
      </w:r>
      <w:bookmarkEnd w:id="318"/>
      <w:r>
        <w:rPr>
          <w:b/>
          <w:noProof/>
        </w:rPr>
        <w:t>Σύστημα διοικητικών κυρώσεων για τις προϋποθέσεις</w:t>
      </w:r>
    </w:p>
    <w:p w:rsidR="00A57BFD" w:rsidRDefault="005B0D19">
      <w:pPr>
        <w:pStyle w:val="ManualNumPar1"/>
        <w:rPr>
          <w:noProof/>
        </w:rPr>
      </w:pPr>
      <w:r>
        <w:t>1.</w:t>
      </w:r>
      <w:r>
        <w:tab/>
      </w:r>
      <w:r>
        <w:rPr>
          <w:noProof/>
        </w:rPr>
        <w:t>Τα κράτη μέλη θεσπίζουν σύστημα που προβλέπει την επιβολή διοικητικών κυρώσεων στους δικαιούχους που αναφέρονται στο άρθρο 11 του κανονισμού (ΕΕ) …/… [κανονισμός για το στρατηγικό σχέδιο της ΚΓΠ]</w:t>
      </w:r>
      <w:r>
        <w:rPr>
          <w:b/>
          <w:noProof/>
        </w:rPr>
        <w:t xml:space="preserve"> </w:t>
      </w:r>
      <w:r>
        <w:rPr>
          <w:noProof/>
        </w:rPr>
        <w:t>οι οποίοι δεν συμμορφώνονται, ανά πάσα στιγμή κατά το σχετικό ημερολογιακό έτος, με τους κανόνες σχετικά με τις προϋποθέσεις που καθορίζονται στον τίτλο ΙΙΙ κεφάλαιο 1 τμήμα 2 του εν λόγω κανονισμού («σύστημα κυρώσεων»).</w:t>
      </w:r>
    </w:p>
    <w:p w:rsidR="00A57BFD" w:rsidRDefault="005B0D19">
      <w:pPr>
        <w:pStyle w:val="Text1"/>
        <w:rPr>
          <w:noProof/>
        </w:rPr>
      </w:pPr>
      <w:r>
        <w:rPr>
          <w:noProof/>
        </w:rPr>
        <w:t>Σύμφωνα με το σύστημα αυτό, οι διοικητικές κυρώσεις που αναφέρονται στο πρώτο εδάφιο επιβάλλονται μόνο εφόσον η μη συμμόρφωση είναι αποτέλεσμα πράξης ή παράλειψης αποδιδόμενης ευθέως στον σχετικό δικαιούχο· και εφόσον συντρέχει μία ή και οι δύο από τις ακόλουθες προϋποθέσεις:</w:t>
      </w:r>
    </w:p>
    <w:p w:rsidR="00A57BFD" w:rsidRDefault="005B0D19">
      <w:pPr>
        <w:pStyle w:val="Point10"/>
        <w:rPr>
          <w:noProof/>
        </w:rPr>
      </w:pPr>
      <w:r>
        <w:rPr>
          <w:noProof/>
        </w:rPr>
        <w:t>α)</w:t>
      </w:r>
      <w:r>
        <w:rPr>
          <w:noProof/>
        </w:rPr>
        <w:tab/>
        <w:t>η μη συμμόρφωση αφορά τη γεωργική δραστηριότητα του δικαιούχου·</w:t>
      </w:r>
    </w:p>
    <w:p w:rsidR="00A57BFD" w:rsidRDefault="005B0D19">
      <w:pPr>
        <w:pStyle w:val="Point10"/>
        <w:rPr>
          <w:noProof/>
        </w:rPr>
      </w:pPr>
      <w:r>
        <w:rPr>
          <w:noProof/>
        </w:rPr>
        <w:t>β)</w:t>
      </w:r>
      <w:r>
        <w:rPr>
          <w:noProof/>
        </w:rPr>
        <w:tab/>
        <w:t>αφορά την έκταση της εκμετάλλευσης του δικαιούχου.</w:t>
      </w:r>
    </w:p>
    <w:p w:rsidR="00A57BFD" w:rsidRDefault="005B0D19">
      <w:pPr>
        <w:pStyle w:val="Text1"/>
        <w:rPr>
          <w:noProof/>
        </w:rPr>
      </w:pPr>
      <w:r>
        <w:rPr>
          <w:noProof/>
        </w:rPr>
        <w:t xml:space="preserve">Ωστόσο, όσον αφορά τις δασικές εκτάσεις, η διοικητική κύρωση που αναφέρεται στο πρώτο εδάφιο δεν εφαρμόζεται όταν δεν έχει υποβληθεί αίτηση στήριξης για τη </w:t>
      </w:r>
      <w:r>
        <w:rPr>
          <w:noProof/>
        </w:rPr>
        <w:lastRenderedPageBreak/>
        <w:t>συγκεκριμένη έκταση σύμφωνα με τα άρθρα 65 και 66 του κανονισμού (ΕΕ) …/… [κανονισμός για το στρατηγικό σχέδιο της ΚΓΠ].</w:t>
      </w:r>
    </w:p>
    <w:p w:rsidR="00A57BFD" w:rsidRDefault="005B0D19">
      <w:pPr>
        <w:pStyle w:val="ManualNumPar1"/>
        <w:rPr>
          <w:noProof/>
        </w:rPr>
      </w:pPr>
      <w:r>
        <w:t>2.</w:t>
      </w:r>
      <w:r>
        <w:tab/>
      </w:r>
      <w:r>
        <w:rPr>
          <w:noProof/>
        </w:rPr>
        <w:t>Στο σύστημα κυρώσεών τους που αναφέρεται στην παράγραφο 1, τα κράτη μέλη:</w:t>
      </w:r>
    </w:p>
    <w:p w:rsidR="00A57BFD" w:rsidRDefault="005B0D19">
      <w:pPr>
        <w:pStyle w:val="Point10"/>
        <w:rPr>
          <w:noProof/>
        </w:rPr>
      </w:pPr>
      <w:r>
        <w:rPr>
          <w:noProof/>
        </w:rPr>
        <w:t>α)</w:t>
      </w:r>
      <w:r>
        <w:rPr>
          <w:noProof/>
        </w:rPr>
        <w:tab/>
        <w:t xml:space="preserve">περιλαμβάνουν κανόνες για την επιβολή διοικητικών κυρώσεων σε περιπτώσεις μεταβίβασης της γης κατά τη διάρκεια του οικείου ημερολογιακού έτους ή των οικείων ετών. Οι κανόνες αυτοί βασίζονται στη σωστή και δίκαιη απόδοση της ευθύνης για περιπτώσεις μη συμμόρφωσης μεταξύ μεταβιβαζόντων και των διαδόχων τους. </w:t>
      </w:r>
    </w:p>
    <w:p w:rsidR="00A57BFD" w:rsidRDefault="005B0D19">
      <w:pPr>
        <w:pStyle w:val="Point10"/>
        <w:rPr>
          <w:noProof/>
        </w:rPr>
      </w:pPr>
      <w:r>
        <w:rPr>
          <w:noProof/>
        </w:rPr>
        <w:t>β)</w:t>
      </w:r>
      <w:r>
        <w:rPr>
          <w:noProof/>
        </w:rPr>
        <w:tab/>
        <w:t>Για τους σκοπούς του παρόντος στοιχείου, ως «μεταβίβαση» νοείται οιαδήποτε συναλλαγή κατά την οποία γεωργική έκταση παύει να βρίσκεται στη διάθεση του μεταβιβάζοντος·</w:t>
      </w:r>
    </w:p>
    <w:p w:rsidR="00A57BFD" w:rsidRDefault="005B0D19">
      <w:pPr>
        <w:pStyle w:val="Point10"/>
        <w:rPr>
          <w:noProof/>
        </w:rPr>
      </w:pPr>
      <w:r>
        <w:rPr>
          <w:noProof/>
        </w:rPr>
        <w:t>γ)</w:t>
      </w:r>
      <w:r>
        <w:rPr>
          <w:noProof/>
        </w:rPr>
        <w:tab/>
        <w:t>κατά παρέκκλιση από την παράγραφο 1, δύνανται να αποφασίζουν τη μη επιβολή κύρωσης ανά δικαιούχο και ανά ημερολογιακό έτος όταν το ύψος της κύρωσης είναι ίσο ή μικρότερο των 100 EUR. Η διαπίστωση και η υποχρέωση λήψης διορθωτικών μέτρων κοινοποιούνται στον δικαιούχο·</w:t>
      </w:r>
    </w:p>
    <w:p w:rsidR="00A57BFD" w:rsidRDefault="005B0D19">
      <w:pPr>
        <w:pStyle w:val="Point10"/>
        <w:rPr>
          <w:noProof/>
        </w:rPr>
      </w:pPr>
      <w:r>
        <w:rPr>
          <w:noProof/>
        </w:rPr>
        <w:t>δ)</w:t>
      </w:r>
      <w:r>
        <w:rPr>
          <w:noProof/>
        </w:rPr>
        <w:tab/>
        <w:t>εξασφαλίζουν ότι δεν επιβάλλεται διοικητική κύρωση όταν η μη συμμόρφωση οφείλεται σε ανωτέρα βία.</w:t>
      </w:r>
    </w:p>
    <w:p w:rsidR="00A57BFD" w:rsidRDefault="005B0D19">
      <w:pPr>
        <w:pStyle w:val="ManualNumPar1"/>
        <w:rPr>
          <w:noProof/>
        </w:rPr>
      </w:pPr>
      <w:r>
        <w:t>3.</w:t>
      </w:r>
      <w:r>
        <w:tab/>
      </w:r>
      <w:r>
        <w:rPr>
          <w:noProof/>
        </w:rPr>
        <w:t>Η επιβολή διοικητικής κύρωσης δεν επηρεάζει τη νομιμότητα και την κανονικότητα των δαπανών επί των οποίων επεβλήθη.</w:t>
      </w:r>
    </w:p>
    <w:p w:rsidR="00A57BFD" w:rsidRDefault="005B0D19">
      <w:pPr>
        <w:pStyle w:val="Titrearticle1"/>
        <w:rPr>
          <w:b/>
          <w:noProof/>
        </w:rPr>
      </w:pPr>
      <w:bookmarkStart w:id="322" w:name="ai6j2n99g"/>
      <w:bookmarkStart w:id="323" w:name="ai6j2n99"/>
      <w:bookmarkEnd w:id="319"/>
      <w:r>
        <w:rPr>
          <w:noProof/>
        </w:rPr>
        <w:t>Άρθρο 86</w:t>
      </w:r>
      <w:r>
        <w:rPr>
          <w:noProof/>
        </w:rPr>
        <w:br/>
      </w:r>
      <w:r>
        <w:rPr>
          <w:b/>
          <w:noProof/>
        </w:rPr>
        <w:t>Υπολογισμός της κύρωσης</w:t>
      </w:r>
    </w:p>
    <w:p w:rsidR="00A57BFD" w:rsidRDefault="005B0D19">
      <w:pPr>
        <w:pStyle w:val="ManualNumPar1"/>
        <w:rPr>
          <w:noProof/>
        </w:rPr>
      </w:pPr>
      <w:r>
        <w:t>1.</w:t>
      </w:r>
      <w:r>
        <w:tab/>
      </w:r>
      <w:r>
        <w:rPr>
          <w:noProof/>
        </w:rPr>
        <w:t>Οι διοικητικές κυρώσεις που προβλέπονται στον τίτλο III κεφάλαιο 1 τμήμα 2 του κανονισμού (ΕΕ) …/… [κανονισμός για το στρατηγικό σχέδιο της ΚΓΠ] επιβάλλονται με μείωση ή αποκλεισμό του συνολικού ποσού των ενισχύσεων που αναφέρονται στο εν λόγω τμήμα του εν λόγω κανονισμού, που έχει καταβληθεί ή πρόκειται να καταβληθεί στον εν λόγω δικαιούχο όσον αφορά τις αιτήσεις ενίσχυσης τις οποίες έχει υποβάλει ή θα υποβάλει κατά τη διάρκεια του ημερολογιακού έτους της διαπίστωσης του προβλήματος.</w:t>
      </w:r>
    </w:p>
    <w:p w:rsidR="00A57BFD" w:rsidRDefault="005B0D19">
      <w:pPr>
        <w:pStyle w:val="Text1"/>
        <w:rPr>
          <w:noProof/>
        </w:rPr>
      </w:pPr>
      <w:r>
        <w:rPr>
          <w:noProof/>
        </w:rPr>
        <w:t xml:space="preserve">Για τον υπολογισμό των μειώσεων και των αποκλεισμών αυτών, πρέπει να λαμβάνονται υπόψη η σοβαρότητα, η έκταση, ο διαρκής χαρακτήρας, η επανάληψη ή η εκ προθέσεως διάπραξη της διαπιστούμενης μη συμμόρφωσης. Οι επιβαλλόμενες κυρώσεις είναι αποτρεπτικές και αναλογικές και συμμορφώνονται με τα κριτήρια που ορίζονται στις παραγράφους 2 και 3 του παρόντος άρθρου. </w:t>
      </w:r>
      <w:r>
        <w:rPr>
          <w:noProof/>
        </w:rPr>
        <w:tab/>
        <w:t xml:space="preserve"> </w:t>
      </w:r>
    </w:p>
    <w:p w:rsidR="00A57BFD" w:rsidRDefault="005B0D19">
      <w:pPr>
        <w:pStyle w:val="ManualNumPar1"/>
        <w:rPr>
          <w:noProof/>
        </w:rPr>
      </w:pPr>
      <w:r>
        <w:t>2.</w:t>
      </w:r>
      <w:r>
        <w:tab/>
      </w:r>
      <w:r>
        <w:rPr>
          <w:noProof/>
        </w:rPr>
        <w:t xml:space="preserve">Σε περίπτωση μη συμμόρφωσης λόγω αμέλειας, το ποσοστό μείωσης ανέρχεται κατά γενικό κανόνα στο 3 % του συνολικού ποσού των ενισχύσεων που αναφέρονται στην παράγραφο 1 του παρόντος άρθρου. </w:t>
      </w:r>
    </w:p>
    <w:p w:rsidR="00A57BFD" w:rsidRDefault="005B0D19">
      <w:pPr>
        <w:pStyle w:val="Text1"/>
        <w:rPr>
          <w:noProof/>
        </w:rPr>
      </w:pPr>
      <w:r>
        <w:rPr>
          <w:noProof/>
        </w:rPr>
        <w:t>Τα κράτη μέλη μπορούν να συγκροτήσουν σύστημα έγκαιρης προειδοποίησης για τις μεμονωμένες περιπτώσεις μη συμμόρφωσης που συμβαίνουν για πρώτη φορά και οι οποίες, λόγω της μικρής σοβαρότητας, έκτασης και διάρκειάς τους, δεν οδηγούν σε μείωση ή αποκλεισμό. Σε περίπτωση που σε επακόλουθο έλεγχο εντός τριών διαδοχικών ημερολογιακών ετών διαπιστωθεί ότι δεν έχει επανορθωθεί η μη συμμόρφωση, εφαρμόζεται αναδρομικά η μείωση σύμφωνα με το πρώτο εδάφιο.</w:t>
      </w:r>
    </w:p>
    <w:p w:rsidR="00A57BFD" w:rsidRDefault="005B0D19">
      <w:pPr>
        <w:pStyle w:val="Text1"/>
        <w:rPr>
          <w:noProof/>
        </w:rPr>
      </w:pPr>
      <w:r>
        <w:rPr>
          <w:noProof/>
        </w:rPr>
        <w:t>Ωστόσο, οι περιπτώσεις μη συμμόρφωσης που συνιστούν άμεσο κίνδυνο για τη δημόσια υγεία ή την υγεία των ζώων οδηγούν πάντοτε σε μείωση ή αποκλεισμό.</w:t>
      </w:r>
    </w:p>
    <w:p w:rsidR="00A57BFD" w:rsidRDefault="005B0D19">
      <w:pPr>
        <w:pStyle w:val="Text1"/>
        <w:rPr>
          <w:noProof/>
        </w:rPr>
      </w:pPr>
      <w:r>
        <w:rPr>
          <w:noProof/>
        </w:rPr>
        <w:lastRenderedPageBreak/>
        <w:t>Τα κράτη μέλη μπορούν να παρέχουν στους δικαιούχους που έλαβαν έγκαιρη προειδοποίηση υποχρεωτική κατάρτιση στο πλαίσιο του συστήματος παροχής συμβουλών σε γεωργικές εκμεταλλεύσεις που προβλέπεται στον τίτλο ΙΙΙ κεφάλαιο 1 τμήμα 3 του κανονισμού (ΕΕ) …/… [κανονισμός για το στρατηγικό σχέδιο της ΚΓΠ].</w:t>
      </w:r>
    </w:p>
    <w:p w:rsidR="00A57BFD" w:rsidRDefault="005B0D19">
      <w:pPr>
        <w:pStyle w:val="ManualNumPar1"/>
        <w:rPr>
          <w:noProof/>
        </w:rPr>
      </w:pPr>
      <w:r>
        <w:t>3.</w:t>
      </w:r>
      <w:r>
        <w:tab/>
      </w:r>
      <w:r>
        <w:rPr>
          <w:noProof/>
        </w:rPr>
        <w:t>Σε περίπτωση επανάληψης της μη συμμόρφωσης, το ποσοστό μείωσης είναι υψηλότερο από αυτό που εφαρμόζεται σε περίπτωση μη συμμόρφωσης λόγω αμέλειας για την οποία επιβλήθηκε κύρωση για πρώτη φορά.</w:t>
      </w:r>
    </w:p>
    <w:p w:rsidR="00A57BFD" w:rsidRDefault="005B0D19">
      <w:pPr>
        <w:pStyle w:val="ManualNumPar1"/>
        <w:rPr>
          <w:noProof/>
        </w:rPr>
      </w:pPr>
      <w:r>
        <w:t>4.</w:t>
      </w:r>
      <w:r>
        <w:tab/>
      </w:r>
      <w:r>
        <w:rPr>
          <w:noProof/>
        </w:rPr>
        <w:t>Σε περίπτωση μη συμμόρφωσης εκ προθέσεως, το ποσοστό είναι υψηλότερο από αυτό που εφαρμόζεται σε περίπτωση επανάληψης της μη συμμόρφωσης σύμφωνα με την παράγραφο 3, μπορεί να φθάνει μέχρι τον πλήρη αποκλεισμό από τις ενισχύσεις και μπορεί να εφαρμόζεται για ένα ή περισσότερα ημερολογιακά έτη.</w:t>
      </w:r>
    </w:p>
    <w:p w:rsidR="00A57BFD" w:rsidRDefault="005B0D19">
      <w:pPr>
        <w:pStyle w:val="ManualNumPar1"/>
        <w:rPr>
          <w:noProof/>
        </w:rPr>
      </w:pPr>
      <w:r>
        <w:t>5.</w:t>
      </w:r>
      <w:r>
        <w:tab/>
      </w:r>
      <w:r>
        <w:rPr>
          <w:noProof/>
        </w:rPr>
        <w:t>Προκειμένου να εξασφαλιστούν ίσοι όροι ανταγωνισμού μεταξύ των κρατών μελών, καθώς και η αποτελεσματικότητα και το αποτρεπτικό αποτέλεσμα του συστήματος κυρώσεων, ανατίθεται στην Επιτροπή η εξουσία να εκδίδει κατ’ εξουσιοδότηση πράξεις σύμφωνα με το άρθρο 100 για τη συμπλήρωση του παρόντος κανονισμού με περαιτέρω κανόνες σχετικά με την επιβολή και τον υπολογισμό των κυρώσεων.</w:t>
      </w:r>
    </w:p>
    <w:p w:rsidR="00A57BFD" w:rsidRDefault="005B0D19">
      <w:pPr>
        <w:pStyle w:val="Titrearticle1"/>
        <w:rPr>
          <w:noProof/>
        </w:rPr>
      </w:pPr>
      <w:bookmarkStart w:id="324" w:name="ai6j2n100g"/>
      <w:bookmarkStart w:id="325" w:name="ai6j2n100"/>
      <w:bookmarkEnd w:id="322"/>
      <w:bookmarkEnd w:id="323"/>
      <w:r>
        <w:rPr>
          <w:noProof/>
        </w:rPr>
        <w:t>Άρθρο 87</w:t>
      </w:r>
      <w:r>
        <w:rPr>
          <w:noProof/>
        </w:rPr>
        <w:br/>
      </w:r>
      <w:r>
        <w:rPr>
          <w:b/>
          <w:noProof/>
        </w:rPr>
        <w:t>Ποσά που προκύπτουν από τις διοικητικές κυρώσεις σχετικά με τις προϋποθέσεις</w:t>
      </w:r>
    </w:p>
    <w:p w:rsidR="00A57BFD" w:rsidRDefault="005B0D19">
      <w:pPr>
        <w:rPr>
          <w:noProof/>
        </w:rPr>
      </w:pPr>
      <w:bookmarkStart w:id="326" w:name="ai6j2n100q1"/>
      <w:bookmarkStart w:id="327" w:name="ai6j2n101g"/>
      <w:bookmarkStart w:id="328" w:name="ai6j2n101"/>
      <w:bookmarkEnd w:id="324"/>
      <w:bookmarkEnd w:id="325"/>
      <w:r>
        <w:rPr>
          <w:noProof/>
        </w:rPr>
        <w:t>Τα κράτη μέλη μπορούν να παρακρατούν το 20 % των ποσών που προκύπτουν από την επιβολή των μειώσεων και των αποκλεισμών που αναφέρονται στο άρθρο 86.</w:t>
      </w:r>
      <w:bookmarkEnd w:id="326"/>
      <w:bookmarkEnd w:id="327"/>
      <w:bookmarkEnd w:id="328"/>
    </w:p>
    <w:p w:rsidR="00A57BFD" w:rsidRDefault="005B0D19">
      <w:pPr>
        <w:pStyle w:val="PartTitle"/>
        <w:rPr>
          <w:noProof/>
        </w:rPr>
      </w:pPr>
      <w:r>
        <w:rPr>
          <w:noProof/>
        </w:rPr>
        <w:lastRenderedPageBreak/>
        <w:t>Τίτλος V</w:t>
      </w:r>
      <w:r>
        <w:rPr>
          <w:noProof/>
        </w:rPr>
        <w:br/>
        <w:t>Κοινές διατάξεις</w:t>
      </w:r>
    </w:p>
    <w:p w:rsidR="00A57BFD" w:rsidRDefault="005B0D19">
      <w:pPr>
        <w:pStyle w:val="ChapterTitle0"/>
        <w:rPr>
          <w:noProof/>
        </w:rPr>
      </w:pPr>
      <w:r>
        <w:rPr>
          <w:noProof/>
        </w:rPr>
        <w:t>ΚΕΦΑΛΑΙΟ I</w:t>
      </w:r>
      <w:r>
        <w:rPr>
          <w:noProof/>
        </w:rPr>
        <w:br/>
        <w:t>Διαβίβαση πληροφοριών</w:t>
      </w:r>
    </w:p>
    <w:p w:rsidR="00A57BFD" w:rsidRDefault="005B0D19">
      <w:pPr>
        <w:pStyle w:val="Titrearticle1"/>
        <w:rPr>
          <w:noProof/>
        </w:rPr>
      </w:pPr>
      <w:r>
        <w:rPr>
          <w:noProof/>
        </w:rPr>
        <w:t>Άρθρο 88</w:t>
      </w:r>
      <w:r>
        <w:rPr>
          <w:noProof/>
        </w:rPr>
        <w:br/>
      </w:r>
      <w:r>
        <w:rPr>
          <w:b/>
          <w:noProof/>
        </w:rPr>
        <w:t xml:space="preserve">Κοινοποίηση πληροφοριών </w:t>
      </w:r>
    </w:p>
    <w:p w:rsidR="00A57BFD" w:rsidRDefault="005B0D19">
      <w:pPr>
        <w:pStyle w:val="ManualNumPar1"/>
        <w:rPr>
          <w:noProof/>
        </w:rPr>
      </w:pPr>
      <w:r>
        <w:t>1.</w:t>
      </w:r>
      <w:r>
        <w:tab/>
      </w:r>
      <w:r>
        <w:rPr>
          <w:noProof/>
        </w:rPr>
        <w:t>Επιπλέον των διατάξεων που προβλέπονται στον κανονισμό (ΕΕ) …/… [κανονισμό για το στρατηγικό σχέδιο της ΚΓΠ], τα κράτη μέλη διαβιβάζουν στην Επιτροπή τα ακόλουθα στοιχεία, δηλώσεις και έγγραφα:</w:t>
      </w:r>
    </w:p>
    <w:p w:rsidR="00A57BFD" w:rsidRDefault="005B0D19">
      <w:pPr>
        <w:pStyle w:val="Point10"/>
        <w:rPr>
          <w:noProof/>
        </w:rPr>
      </w:pPr>
      <w:r>
        <w:rPr>
          <w:noProof/>
        </w:rPr>
        <w:t>α)</w:t>
      </w:r>
      <w:r>
        <w:rPr>
          <w:noProof/>
        </w:rPr>
        <w:tab/>
        <w:t>όσον αφορά τους διαπιστευμένους οργανισμούς πληρωμών και τους διαπιστευμένους οργανισμούς συντονισμού:</w:t>
      </w:r>
    </w:p>
    <w:p w:rsidR="00A57BFD" w:rsidRDefault="005B0D19">
      <w:pPr>
        <w:pStyle w:val="Point2"/>
        <w:rPr>
          <w:noProof/>
        </w:rPr>
      </w:pPr>
      <w:r>
        <w:rPr>
          <w:noProof/>
        </w:rPr>
        <w:t xml:space="preserve">i) </w:t>
      </w:r>
      <w:r>
        <w:rPr>
          <w:noProof/>
        </w:rPr>
        <w:tab/>
        <w:t>την πράξη διαπίστευσής τους,</w:t>
      </w:r>
    </w:p>
    <w:p w:rsidR="00A57BFD" w:rsidRDefault="005B0D19">
      <w:pPr>
        <w:pStyle w:val="Point2"/>
        <w:rPr>
          <w:noProof/>
        </w:rPr>
      </w:pPr>
      <w:r>
        <w:rPr>
          <w:noProof/>
        </w:rPr>
        <w:t xml:space="preserve">ii) </w:t>
      </w:r>
      <w:r>
        <w:rPr>
          <w:noProof/>
        </w:rPr>
        <w:tab/>
        <w:t>την ιδιότητά τους (διαπιστευμένος οργανισμός πληρωμών ή διαπιστευμένος οργανισμός συντονισμού),</w:t>
      </w:r>
    </w:p>
    <w:p w:rsidR="00A57BFD" w:rsidRDefault="005B0D19">
      <w:pPr>
        <w:pStyle w:val="Point2"/>
        <w:rPr>
          <w:noProof/>
        </w:rPr>
      </w:pPr>
      <w:r>
        <w:rPr>
          <w:noProof/>
        </w:rPr>
        <w:t xml:space="preserve">iii) </w:t>
      </w:r>
      <w:r>
        <w:rPr>
          <w:noProof/>
        </w:rPr>
        <w:tab/>
        <w:t>ενδεχομένως, την ανάκληση της διαπίστευσής τους·</w:t>
      </w:r>
    </w:p>
    <w:p w:rsidR="00A57BFD" w:rsidRDefault="005B0D19">
      <w:pPr>
        <w:pStyle w:val="Point10"/>
        <w:rPr>
          <w:noProof/>
        </w:rPr>
      </w:pPr>
      <w:r>
        <w:rPr>
          <w:noProof/>
        </w:rPr>
        <w:t>β)</w:t>
      </w:r>
      <w:r>
        <w:rPr>
          <w:noProof/>
        </w:rPr>
        <w:tab/>
        <w:t>όσον αφορά του οργανισμούς πιστοποίησης:</w:t>
      </w:r>
    </w:p>
    <w:p w:rsidR="00A57BFD" w:rsidRDefault="005B0D19">
      <w:pPr>
        <w:pStyle w:val="Point2"/>
        <w:rPr>
          <w:noProof/>
        </w:rPr>
      </w:pPr>
      <w:r>
        <w:rPr>
          <w:noProof/>
        </w:rPr>
        <w:t xml:space="preserve">i) </w:t>
      </w:r>
      <w:r>
        <w:rPr>
          <w:noProof/>
        </w:rPr>
        <w:tab/>
        <w:t>την επωνυμία τους,</w:t>
      </w:r>
    </w:p>
    <w:p w:rsidR="00A57BFD" w:rsidRDefault="005B0D19">
      <w:pPr>
        <w:pStyle w:val="Point2"/>
        <w:rPr>
          <w:noProof/>
        </w:rPr>
      </w:pPr>
      <w:r>
        <w:rPr>
          <w:noProof/>
        </w:rPr>
        <w:t xml:space="preserve">ii) </w:t>
      </w:r>
      <w:r>
        <w:rPr>
          <w:noProof/>
        </w:rPr>
        <w:tab/>
        <w:t>τη διεύθυνσή τους·</w:t>
      </w:r>
    </w:p>
    <w:p w:rsidR="00A57BFD" w:rsidRDefault="005B0D19">
      <w:pPr>
        <w:pStyle w:val="Point10"/>
        <w:rPr>
          <w:noProof/>
        </w:rPr>
      </w:pPr>
      <w:r>
        <w:rPr>
          <w:noProof/>
        </w:rPr>
        <w:t>γ)</w:t>
      </w:r>
      <w:r>
        <w:rPr>
          <w:noProof/>
        </w:rPr>
        <w:tab/>
        <w:t>όσον αφορά τα μέτρα τα οποία συνδέονται με τις πράξεις που χρηματοδοτούνται από τα ταμεία:</w:t>
      </w:r>
    </w:p>
    <w:p w:rsidR="00A57BFD" w:rsidRDefault="005B0D19">
      <w:pPr>
        <w:pStyle w:val="Point2"/>
        <w:rPr>
          <w:noProof/>
        </w:rPr>
      </w:pPr>
      <w:r>
        <w:rPr>
          <w:noProof/>
        </w:rPr>
        <w:t xml:space="preserve">i) </w:t>
      </w:r>
      <w:r>
        <w:rPr>
          <w:noProof/>
        </w:rPr>
        <w:tab/>
        <w:t>τις δηλώσεις δαπανών, που ισχύουν επίσης ως αιτήσεις πληρωμών, υπογεγραμμένες από τον διαπιστευμένο οργανισμό πληρωμών ή τον διαπιστευμένο οργανισμό συντονισμού και συνοδευόμενες από τα απαιτούμενα στοιχεία,</w:t>
      </w:r>
    </w:p>
    <w:p w:rsidR="00A57BFD" w:rsidRDefault="005B0D19">
      <w:pPr>
        <w:pStyle w:val="Point2"/>
        <w:rPr>
          <w:noProof/>
        </w:rPr>
      </w:pPr>
      <w:r>
        <w:rPr>
          <w:noProof/>
        </w:rPr>
        <w:t xml:space="preserve">ii) </w:t>
      </w:r>
      <w:r>
        <w:rPr>
          <w:noProof/>
        </w:rPr>
        <w:tab/>
        <w:t>τις προβλέψεις των χρηματοδοτικών απαιτήσεών τους, όσον αφορά το ΕΓΤΕ και, στην περίπτωση του ΕΓΤΑΑ, την επικαιροποίηση των προβλέψεων για τις δηλώσεις δαπανών που πρόκειται να υποβληθούν στη διάρκεια του έτους και τις προβλέψεις για τις δηλώσεις δαπανών για το επόμενο οικονομικό έτος,</w:t>
      </w:r>
    </w:p>
    <w:p w:rsidR="00A57BFD" w:rsidRDefault="005B0D19">
      <w:pPr>
        <w:pStyle w:val="Point2"/>
        <w:rPr>
          <w:noProof/>
        </w:rPr>
      </w:pPr>
      <w:r>
        <w:rPr>
          <w:noProof/>
        </w:rPr>
        <w:t xml:space="preserve">iii) </w:t>
      </w:r>
      <w:r>
        <w:rPr>
          <w:noProof/>
        </w:rPr>
        <w:tab/>
        <w:t>τη διαχειριστική δήλωση και τους ετήσιους λογαριασμούς των διαπιστευμένων οργανισμών πληρωμών.</w:t>
      </w:r>
    </w:p>
    <w:p w:rsidR="00A57BFD" w:rsidRDefault="005B0D19">
      <w:pPr>
        <w:pStyle w:val="Text1"/>
        <w:rPr>
          <w:noProof/>
        </w:rPr>
      </w:pPr>
      <w:r>
        <w:rPr>
          <w:noProof/>
        </w:rPr>
        <w:t>Οι ετήσιοι λογαριασμοί των διαπιστευμένων οργανισμών πληρωμών που καλύπτουν τις δαπάνες του ΕΓΤΑΑ υποβάλλονται στο επίπεδο κάθε στρατηγικού σχεδίου της ΚΓΠ.</w:t>
      </w:r>
    </w:p>
    <w:p w:rsidR="00A57BFD" w:rsidRDefault="005B0D19">
      <w:pPr>
        <w:pStyle w:val="ManualNumPar1"/>
        <w:rPr>
          <w:noProof/>
        </w:rPr>
      </w:pPr>
      <w:r>
        <w:t>2.</w:t>
      </w:r>
      <w:r>
        <w:tab/>
      </w:r>
      <w:r>
        <w:rPr>
          <w:noProof/>
        </w:rPr>
        <w:t>Τα κράτη μέλη ενημερώνουν τακτικά την Επιτροπή για την εφαρμογή του ολοκληρωμένου συστήματος που αναφέρεται στον τίτλο V κεφάλαιο II. Η Επιτροπή διοργανώνει συνεδριάσεις ανταλλαγής απόψεων για το θέμα αυτό με τα κράτη μέλη.</w:t>
      </w:r>
    </w:p>
    <w:p w:rsidR="00A57BFD" w:rsidRDefault="005B0D19">
      <w:pPr>
        <w:pStyle w:val="Titrearticle1"/>
        <w:rPr>
          <w:noProof/>
        </w:rPr>
      </w:pPr>
      <w:r>
        <w:rPr>
          <w:noProof/>
        </w:rPr>
        <w:lastRenderedPageBreak/>
        <w:t>Άρθρο 89</w:t>
      </w:r>
      <w:r>
        <w:rPr>
          <w:noProof/>
        </w:rPr>
        <w:br/>
      </w:r>
      <w:r>
        <w:rPr>
          <w:b/>
          <w:noProof/>
        </w:rPr>
        <w:t>Εμπιστευτικότητα</w:t>
      </w:r>
    </w:p>
    <w:p w:rsidR="00A57BFD" w:rsidRDefault="005B0D19">
      <w:pPr>
        <w:pStyle w:val="ManualNumPar1"/>
        <w:rPr>
          <w:noProof/>
        </w:rPr>
      </w:pPr>
      <w:bookmarkStart w:id="329" w:name="ai7j1n103p1q1"/>
      <w:r>
        <w:t>1.</w:t>
      </w:r>
      <w:r>
        <w:tab/>
      </w:r>
      <w:r>
        <w:rPr>
          <w:noProof/>
        </w:rPr>
        <w:t>Τα κράτη μέλη και η Επιτροπή λαμβάνουν όλα τα αναγκαία μέτρα για να διασφαλίσουν τον εμπιστευτικό χαρακτήρα των στοιχείων που γνωστοποιούνται ή λαμβάνονται στο πλαίσιο των ενεργειών ελέγχου και εκκαθάρισης των λογαριασμών κατ’ εφαρμογή του παρόντος κανονισμού.</w:t>
      </w:r>
      <w:bookmarkEnd w:id="329"/>
    </w:p>
    <w:p w:rsidR="00A57BFD" w:rsidRDefault="005B0D19">
      <w:pPr>
        <w:pStyle w:val="Text1"/>
        <w:rPr>
          <w:noProof/>
        </w:rPr>
      </w:pPr>
      <w:r>
        <w:rPr>
          <w:noProof/>
        </w:rPr>
        <w:t>Οι κανόνες που θεσπίζονται στο άρθρο 8 του κανονισμού (Ευρατόμ, ΕΚ) αριθ. 2185/96 του Συμβουλίου εφαρμόζονται επί των στοιχείων αυτών.</w:t>
      </w:r>
    </w:p>
    <w:p w:rsidR="00A57BFD" w:rsidRDefault="005B0D19">
      <w:pPr>
        <w:pStyle w:val="ManualNumPar1"/>
        <w:rPr>
          <w:noProof/>
        </w:rPr>
      </w:pPr>
      <w:r>
        <w:t>2.</w:t>
      </w:r>
      <w:r>
        <w:tab/>
      </w:r>
      <w:r>
        <w:rPr>
          <w:noProof/>
        </w:rPr>
        <w:t>Με την επιφύλαξη των εθνικών διατάξεων που αφορούν δικαστικές διαδικασίες, τα στοιχεία που συλλέγονται κατά τη διάρκεια του ελέγχου που προβλέπεται στον τίτλο V κεφάλαιο ΙΙΙ προστατεύονται από το επαγγελματικό απόρρητο. Οι εν λόγω πληροφορίες δεν επιτρέπεται να κοινοποιούνται σε οποιοδήποτε άλλο άτομο εκτός εκείνων τα οποία, λόγω των καθηκόντων τους στα κράτη μέλη ή στα όργανα της Ένωσης, απαιτείται να λάβουν γνώση αυτών με σκοπό την άσκηση των καθηκόντων τους.</w:t>
      </w:r>
    </w:p>
    <w:p w:rsidR="00A57BFD" w:rsidRDefault="005B0D19">
      <w:pPr>
        <w:pStyle w:val="Titrearticle1"/>
        <w:rPr>
          <w:b/>
          <w:noProof/>
        </w:rPr>
      </w:pPr>
      <w:r>
        <w:rPr>
          <w:noProof/>
        </w:rPr>
        <w:t>Άρθρο 90</w:t>
      </w:r>
      <w:r>
        <w:rPr>
          <w:b/>
          <w:noProof/>
        </w:rPr>
        <w:br/>
        <w:t xml:space="preserve">Εκτελεστικές αρμοδιότητες </w:t>
      </w:r>
    </w:p>
    <w:p w:rsidR="00A57BFD" w:rsidRDefault="005B0D19">
      <w:pPr>
        <w:pStyle w:val="NumPar10"/>
        <w:rPr>
          <w:noProof/>
        </w:rPr>
      </w:pPr>
      <w:r>
        <w:rPr>
          <w:noProof/>
        </w:rPr>
        <w:t>Η Επιτροπή μπορεί να εκδίδει εκτελεστικές πράξεις για τον καθορισμό κανόνων όσον αφορά:</w:t>
      </w:r>
    </w:p>
    <w:p w:rsidR="00A57BFD" w:rsidRDefault="005B0D19">
      <w:pPr>
        <w:pStyle w:val="Point0"/>
        <w:rPr>
          <w:noProof/>
        </w:rPr>
      </w:pPr>
      <w:r>
        <w:rPr>
          <w:noProof/>
        </w:rPr>
        <w:t>α)</w:t>
      </w:r>
      <w:r>
        <w:rPr>
          <w:noProof/>
        </w:rPr>
        <w:tab/>
        <w:t>τη μορφή, το περιεχόμενο, τη συχνότητα, τις προθεσμίες και τους λεπτομερείς κανόνες σύμφωνα με τους οποίους διαβιβάζονται ή τίθενται στη διάθεση της Επιτροπής:</w:t>
      </w:r>
    </w:p>
    <w:p w:rsidR="00A57BFD" w:rsidRDefault="005B0D19">
      <w:pPr>
        <w:pStyle w:val="Point10"/>
        <w:rPr>
          <w:noProof/>
        </w:rPr>
      </w:pPr>
      <w:r>
        <w:rPr>
          <w:noProof/>
        </w:rPr>
        <w:t xml:space="preserve">i) </w:t>
      </w:r>
      <w:r>
        <w:rPr>
          <w:noProof/>
        </w:rPr>
        <w:tab/>
        <w:t>οι δηλώσεις δαπανών και οι καταστάσεις προβλεπόμενων δαπανών καθώς και οι ενημερώσεις τους, συμπεριλαμβανομένων των εσόδων ειδικού προορισμού,</w:t>
      </w:r>
    </w:p>
    <w:p w:rsidR="00A57BFD" w:rsidRDefault="005B0D19">
      <w:pPr>
        <w:pStyle w:val="Point10"/>
        <w:rPr>
          <w:noProof/>
        </w:rPr>
      </w:pPr>
      <w:r>
        <w:rPr>
          <w:noProof/>
        </w:rPr>
        <w:t>ii)</w:t>
      </w:r>
      <w:r>
        <w:rPr>
          <w:noProof/>
        </w:rPr>
        <w:tab/>
        <w:t xml:space="preserve"> η διαχειριστική δήλωση και οι ετήσιοι λογαριασμοί των οργανισμών πληρωμών,</w:t>
      </w:r>
    </w:p>
    <w:p w:rsidR="00A57BFD" w:rsidRDefault="005B0D19">
      <w:pPr>
        <w:pStyle w:val="Point10"/>
        <w:rPr>
          <w:noProof/>
        </w:rPr>
      </w:pPr>
      <w:r>
        <w:rPr>
          <w:noProof/>
        </w:rPr>
        <w:t xml:space="preserve">iii) </w:t>
      </w:r>
      <w:r>
        <w:rPr>
          <w:noProof/>
        </w:rPr>
        <w:tab/>
        <w:t>οι εκθέσεις πιστοποίησης των λογαριασμών,</w:t>
      </w:r>
    </w:p>
    <w:p w:rsidR="00A57BFD" w:rsidRDefault="005B0D19">
      <w:pPr>
        <w:pStyle w:val="Point10"/>
        <w:rPr>
          <w:noProof/>
        </w:rPr>
      </w:pPr>
      <w:r>
        <w:rPr>
          <w:noProof/>
        </w:rPr>
        <w:t xml:space="preserve">iv) </w:t>
      </w:r>
      <w:r>
        <w:rPr>
          <w:noProof/>
        </w:rPr>
        <w:tab/>
        <w:t>τα στοιχεία ταυτότητας των διαπιστευμένων οργανισμών πληρωμών, των διαπιστευμένων οργανισμών συντονισμού και των οργανισμών πιστοποίησης,</w:t>
      </w:r>
    </w:p>
    <w:p w:rsidR="00A57BFD" w:rsidRDefault="005B0D19">
      <w:pPr>
        <w:pStyle w:val="Point10"/>
        <w:rPr>
          <w:noProof/>
        </w:rPr>
      </w:pPr>
      <w:r>
        <w:rPr>
          <w:noProof/>
        </w:rPr>
        <w:t xml:space="preserve">v) </w:t>
      </w:r>
      <w:r>
        <w:rPr>
          <w:noProof/>
        </w:rPr>
        <w:tab/>
        <w:t>οι λεπτομερείς κανόνες συνυπολογισμού και πληρωμής των δαπανών που χρηματοδοτούνται από τα ταμεία,</w:t>
      </w:r>
    </w:p>
    <w:p w:rsidR="00A57BFD" w:rsidRDefault="005B0D19">
      <w:pPr>
        <w:pStyle w:val="Point10"/>
        <w:rPr>
          <w:noProof/>
        </w:rPr>
      </w:pPr>
      <w:r>
        <w:rPr>
          <w:noProof/>
        </w:rPr>
        <w:t xml:space="preserve">vi) </w:t>
      </w:r>
      <w:r>
        <w:rPr>
          <w:noProof/>
        </w:rPr>
        <w:tab/>
        <w:t>οι κοινοποιήσεις των δημοσιονομικών προσαρμογών που πραγματοποιούνται από τα κράτη μέλη σε σχέση με τις παρεμβάσεις αγροτικής ανάπτυξης,</w:t>
      </w:r>
    </w:p>
    <w:p w:rsidR="00A57BFD" w:rsidRDefault="005B0D19">
      <w:pPr>
        <w:pStyle w:val="Point10"/>
        <w:rPr>
          <w:noProof/>
        </w:rPr>
      </w:pPr>
      <w:r>
        <w:rPr>
          <w:noProof/>
        </w:rPr>
        <w:t xml:space="preserve">vii) </w:t>
      </w:r>
      <w:r>
        <w:rPr>
          <w:noProof/>
        </w:rPr>
        <w:tab/>
        <w:t>τα στοιχεία σχετικά με τα μέτρα που λαμβάνονται κατ’ εφαρμογή του άρθρου 57·</w:t>
      </w:r>
    </w:p>
    <w:p w:rsidR="00A57BFD" w:rsidRDefault="005B0D19">
      <w:pPr>
        <w:pStyle w:val="Point0"/>
        <w:rPr>
          <w:noProof/>
        </w:rPr>
      </w:pPr>
      <w:r>
        <w:rPr>
          <w:noProof/>
        </w:rPr>
        <w:t>β)</w:t>
      </w:r>
      <w:r>
        <w:rPr>
          <w:noProof/>
        </w:rPr>
        <w:tab/>
        <w:t>τις λεπτομέρειες που διέπουν τις ανταλλαγές πληροφοριών και εγγράφων μεταξύ της Επιτροπής και των κρατών μελών και τη δημιουργία συστημάτων πληροφοριών, συμπεριλαμβανομένων του είδους, της μορφής και του περιεχομένου των δεδομένων που θα υφίστανται επεξεργασία από αυτά τα συστήματα και των αντίστοιχων κανόνων αποθήκευσής τους·</w:t>
      </w:r>
    </w:p>
    <w:p w:rsidR="00A57BFD" w:rsidRDefault="005B0D19">
      <w:pPr>
        <w:pStyle w:val="Point0"/>
        <w:rPr>
          <w:noProof/>
        </w:rPr>
      </w:pPr>
      <w:r>
        <w:rPr>
          <w:noProof/>
        </w:rPr>
        <w:t>γ)</w:t>
      </w:r>
      <w:r>
        <w:rPr>
          <w:noProof/>
        </w:rPr>
        <w:tab/>
        <w:t>την κοινοποίηση στην Επιτροπή, από τα κράτη μέλη, των πληροφοριών, των εγγράφων, των στατιστικών και των εκθέσεων καθώς και τις προθεσμίες και τους τρόπους κοινοποίησης των στοιχείων αυτών.</w:t>
      </w:r>
    </w:p>
    <w:p w:rsidR="00A57BFD" w:rsidRDefault="005B0D19">
      <w:pPr>
        <w:rPr>
          <w:noProof/>
        </w:rPr>
      </w:pPr>
      <w:r>
        <w:rPr>
          <w:noProof/>
        </w:rPr>
        <w:lastRenderedPageBreak/>
        <w:t>Οι εν λόγω εκτελεστικές πράξεις εκδίδονται σύμφωνα με τη διαδικασία εξέτασης που προβλέπεται στο άρθρο 101 παράγραφος 3.</w:t>
      </w:r>
    </w:p>
    <w:p w:rsidR="00A57BFD" w:rsidRDefault="005B0D19">
      <w:pPr>
        <w:pStyle w:val="ChapterTitle0"/>
        <w:rPr>
          <w:noProof/>
        </w:rPr>
      </w:pPr>
      <w:r>
        <w:rPr>
          <w:noProof/>
        </w:rPr>
        <w:t>Κεφάλαιο II</w:t>
      </w:r>
      <w:r>
        <w:rPr>
          <w:noProof/>
        </w:rPr>
        <w:br/>
        <w:t>Χρήση του ευρώ</w:t>
      </w:r>
    </w:p>
    <w:p w:rsidR="00A57BFD" w:rsidRDefault="005B0D19">
      <w:pPr>
        <w:pStyle w:val="Titrearticle1"/>
        <w:rPr>
          <w:noProof/>
        </w:rPr>
      </w:pPr>
      <w:r>
        <w:rPr>
          <w:noProof/>
        </w:rPr>
        <w:t>Άρθρο 91</w:t>
      </w:r>
      <w:r>
        <w:rPr>
          <w:noProof/>
        </w:rPr>
        <w:br/>
      </w:r>
      <w:r>
        <w:rPr>
          <w:b/>
          <w:noProof/>
        </w:rPr>
        <w:t>Γενικές αρχές</w:t>
      </w:r>
    </w:p>
    <w:p w:rsidR="00A57BFD" w:rsidRDefault="005B0D19">
      <w:pPr>
        <w:pStyle w:val="ManualNumPar1"/>
        <w:rPr>
          <w:noProof/>
        </w:rPr>
      </w:pPr>
      <w:bookmarkStart w:id="330" w:name="ai7j2n105p1"/>
      <w:bookmarkStart w:id="331" w:name="ai7j2n105p1q1"/>
      <w:r>
        <w:t>1.</w:t>
      </w:r>
      <w:r>
        <w:tab/>
      </w:r>
      <w:r>
        <w:rPr>
          <w:noProof/>
        </w:rPr>
        <w:t>Τα ποσά που εμφαίνονται στις αποφάσεις της Επιτροπής για την έγκριση των στρατηγικών σχεδίων της ΚΓΠ, τα ποσά των υποχρεώσεων και των πληρωμών της Επιτροπής καθώς και τα ποσά των βεβαιωμένων ή πιστοποιημένων δαπανών και των δηλώσεων δαπανών των κρατών μελών εκφράζονται και καταβάλλονται σε ευρώ.</w:t>
      </w:r>
      <w:bookmarkEnd w:id="330"/>
      <w:bookmarkEnd w:id="331"/>
    </w:p>
    <w:p w:rsidR="00A57BFD" w:rsidRDefault="005B0D19">
      <w:pPr>
        <w:pStyle w:val="ManualNumPar1"/>
        <w:rPr>
          <w:noProof/>
        </w:rPr>
      </w:pPr>
      <w:bookmarkStart w:id="332" w:name="ai7j2n105p2q1"/>
      <w:bookmarkStart w:id="333" w:name="ai7j2n105p2"/>
      <w:r>
        <w:t>2.</w:t>
      </w:r>
      <w:r>
        <w:tab/>
      </w:r>
      <w:r>
        <w:rPr>
          <w:noProof/>
        </w:rPr>
        <w:t>Οι τιμές και τα ποσά που καθορίζονται στην τομεακή γεωργική νομοθεσία εκφράζονται σε ευρώ.</w:t>
      </w:r>
      <w:bookmarkEnd w:id="332"/>
    </w:p>
    <w:p w:rsidR="00A57BFD" w:rsidRDefault="005B0D19">
      <w:pPr>
        <w:pStyle w:val="Text1"/>
        <w:rPr>
          <w:noProof/>
        </w:rPr>
      </w:pPr>
      <w:bookmarkStart w:id="334" w:name="ai7j2n105p2q2"/>
      <w:r>
        <w:rPr>
          <w:noProof/>
        </w:rPr>
        <w:t>Χορηγούνται ή εισπράττονται σε ευρώ στα κράτη μέλη τα οποία έχουν υιοθετήσει το ευρώ και σε εθνικό νόμισμα στα υπόλοιπα κράτη μέλη.</w:t>
      </w:r>
      <w:bookmarkEnd w:id="333"/>
      <w:bookmarkEnd w:id="334"/>
    </w:p>
    <w:p w:rsidR="00A57BFD" w:rsidRDefault="005B0D19">
      <w:pPr>
        <w:pStyle w:val="Titrearticle1"/>
        <w:rPr>
          <w:noProof/>
        </w:rPr>
      </w:pPr>
      <w:r>
        <w:rPr>
          <w:noProof/>
        </w:rPr>
        <w:t>Άρθρο 92</w:t>
      </w:r>
      <w:r>
        <w:rPr>
          <w:noProof/>
        </w:rPr>
        <w:br/>
      </w:r>
      <w:r>
        <w:rPr>
          <w:b/>
          <w:noProof/>
        </w:rPr>
        <w:t>Συναλλαγματική ισοτιμία και γενεσιουργός αιτία</w:t>
      </w:r>
    </w:p>
    <w:p w:rsidR="00A57BFD" w:rsidRDefault="005B0D19">
      <w:pPr>
        <w:pStyle w:val="ManualNumPar1"/>
        <w:rPr>
          <w:noProof/>
        </w:rPr>
      </w:pPr>
      <w:bookmarkStart w:id="335" w:name="ai7j2n106p1"/>
      <w:bookmarkStart w:id="336" w:name="ai7j2n106p1q1"/>
      <w:r>
        <w:t>1.</w:t>
      </w:r>
      <w:r>
        <w:tab/>
      </w:r>
      <w:r>
        <w:rPr>
          <w:noProof/>
        </w:rPr>
        <w:t>Οι τιμές και τα ποσά που αναφέρονται στο άρθρο 91 παράγραφος 2 στα κράτη μέλη τα οποία δεν έχουν υιοθετήσει το ευρώ μετατρέπονται στο εθνικό τους νόμισμα βάσει συναλλαγματικής ισοτιμίας.</w:t>
      </w:r>
      <w:bookmarkEnd w:id="335"/>
      <w:bookmarkEnd w:id="336"/>
    </w:p>
    <w:p w:rsidR="00A57BFD" w:rsidRDefault="005B0D19">
      <w:pPr>
        <w:pStyle w:val="ManualNumPar1"/>
        <w:rPr>
          <w:noProof/>
        </w:rPr>
      </w:pPr>
      <w:bookmarkStart w:id="337" w:name="ai7j2n106p2"/>
      <w:bookmarkStart w:id="338" w:name="ai7j2n106p2q1"/>
      <w:r>
        <w:t>2.</w:t>
      </w:r>
      <w:r>
        <w:tab/>
      </w:r>
      <w:r>
        <w:rPr>
          <w:noProof/>
        </w:rPr>
        <w:t>Η γενεσιουργός αιτία της συναλλαγματικής ισοτιμίας είναι:</w:t>
      </w:r>
    </w:p>
    <w:p w:rsidR="00A57BFD" w:rsidRDefault="005B0D19">
      <w:pPr>
        <w:pStyle w:val="Point10"/>
        <w:rPr>
          <w:noProof/>
        </w:rPr>
      </w:pPr>
      <w:bookmarkStart w:id="339" w:name="ai7j2n106p2q1ra1"/>
      <w:bookmarkStart w:id="340" w:name="ai7j2n106p2q1ra1q1"/>
      <w:r>
        <w:rPr>
          <w:noProof/>
        </w:rPr>
        <w:t>α)</w:t>
      </w:r>
      <w:r>
        <w:rPr>
          <w:noProof/>
        </w:rPr>
        <w:tab/>
        <w:t>η εκτέλεση των τελωνειακών διατυπώσεων εισαγωγής ή εξαγωγής, όσον αφορά τα ποσά που εισπράττονται ή χορηγούνται στις συναλλαγές με τις τρίτες χώρες,</w:t>
      </w:r>
      <w:bookmarkEnd w:id="339"/>
      <w:bookmarkEnd w:id="340"/>
    </w:p>
    <w:p w:rsidR="00A57BFD" w:rsidRDefault="005B0D19">
      <w:pPr>
        <w:pStyle w:val="Point10"/>
        <w:rPr>
          <w:noProof/>
        </w:rPr>
      </w:pPr>
      <w:bookmarkStart w:id="341" w:name="ai7j2n106p2q1ra2"/>
      <w:bookmarkStart w:id="342" w:name="ai7j2n106p2q1ra2q1"/>
      <w:r>
        <w:rPr>
          <w:noProof/>
        </w:rPr>
        <w:t>β)</w:t>
      </w:r>
      <w:r>
        <w:rPr>
          <w:noProof/>
        </w:rPr>
        <w:tab/>
        <w:t>το γεγονός με το οποίο επιτυγχάνεται ο οικονομικός στόχος της πράξης, σε όλες τις άλλες περιπτώσεις.</w:t>
      </w:r>
      <w:bookmarkEnd w:id="337"/>
      <w:bookmarkEnd w:id="338"/>
      <w:bookmarkEnd w:id="341"/>
      <w:bookmarkEnd w:id="342"/>
    </w:p>
    <w:p w:rsidR="00A57BFD" w:rsidRDefault="005B0D19">
      <w:pPr>
        <w:pStyle w:val="ManualNumPar1"/>
        <w:rPr>
          <w:noProof/>
        </w:rPr>
      </w:pPr>
      <w:bookmarkStart w:id="343" w:name="ai7j2n106p3q1"/>
      <w:bookmarkStart w:id="344" w:name="ai7j2n106p3"/>
      <w:r>
        <w:t>3.</w:t>
      </w:r>
      <w:r>
        <w:tab/>
      </w:r>
      <w:r>
        <w:rPr>
          <w:noProof/>
        </w:rPr>
        <w:t>Όταν μια άμεση ενίσχυση βάσει του κανονισμού (ΕΕ) …/… [κανονισμός για το στρατηγικό σχέδιο της ΚΓΠ] καταβάλλεται σε δικαιούχο σε άλλο νόμισμα πλην του ευρώ, τα κράτη μέλη μετατρέπουν στο εθνικό νόμισμα το εκφρασμένο σε ευρώ ποσό της ενίσχυσης, με βάση την τελευταία ισοτιμία της Ευρωπαϊκής Κεντρικής Τράπεζας πριν από την 1η Οκτωβρίου του έτους για το οποίο χορηγείται η ενίσχυση.</w:t>
      </w:r>
      <w:bookmarkEnd w:id="343"/>
    </w:p>
    <w:p w:rsidR="00A57BFD" w:rsidRDefault="005B0D19">
      <w:pPr>
        <w:pStyle w:val="Text1"/>
        <w:rPr>
          <w:noProof/>
        </w:rPr>
      </w:pPr>
      <w:bookmarkStart w:id="345" w:name="ai7j2n106p3q2"/>
      <w:r>
        <w:rPr>
          <w:noProof/>
        </w:rPr>
        <w:t>Κατά παρέκκλιση από το πρώτο εδάφιο, τα κράτη μέλη μπορούν να αποφασίζουν, σε δεόντως δικαιολογημένες περιπτώσεις, να πραγματοποιήσουν τη μετατροπή βάσει του μέσου όρου των ισοτιμιών της Ευρωπαϊκής Κεντρικής Τράπεζας κατά τη διάρκεια του μήνα που προηγείται της 1ης Οκτωβρίου του έτους για το οποίο χορηγείται η ενίσχυση. Τα κράτη μέλη που επιλέγουν τη δυνατότητα αυτή ορίζουν και δημοσιεύουν τον μέσο όρο αυτό πριν από την 1η Δεκεμβρίου του εν λόγω έτους.</w:t>
      </w:r>
      <w:bookmarkEnd w:id="344"/>
      <w:bookmarkEnd w:id="345"/>
    </w:p>
    <w:p w:rsidR="00A57BFD" w:rsidRDefault="005B0D19">
      <w:pPr>
        <w:pStyle w:val="ManualNumPar1"/>
        <w:rPr>
          <w:noProof/>
        </w:rPr>
      </w:pPr>
      <w:bookmarkStart w:id="346" w:name="ai7j2n106p4"/>
      <w:bookmarkStart w:id="347" w:name="ai7j2n106p4q1"/>
      <w:r>
        <w:t>4.</w:t>
      </w:r>
      <w:r>
        <w:tab/>
      </w:r>
      <w:r>
        <w:rPr>
          <w:noProof/>
        </w:rPr>
        <w:t>Όσον αφορά το ΕΓΤΕ, κατά την κατάρτιση των δηλώσεων δαπανών τα κράτη μέλη που δεν έχουν υιοθετήσει το ευρώ εφαρμόζουν την ίδια συναλλαγματική ισοτιμία με εκείνη την οποία χρησιμοποίησαν όταν πραγματοποίησαν τις πληρωμές προς τους δικαιούχους ή όταν εισέπραξαν έσοδα, σύμφωνα με τις διατάξεις του παρόντος κεφαλαίου.</w:t>
      </w:r>
      <w:bookmarkEnd w:id="346"/>
      <w:bookmarkEnd w:id="347"/>
    </w:p>
    <w:p w:rsidR="00A57BFD" w:rsidRDefault="005B0D19">
      <w:pPr>
        <w:pStyle w:val="ManualNumPar1"/>
        <w:rPr>
          <w:noProof/>
        </w:rPr>
      </w:pPr>
      <w:bookmarkStart w:id="348" w:name="ai7j2n106p5"/>
      <w:bookmarkStart w:id="349" w:name="ai7j2n106p5q1"/>
      <w:r>
        <w:lastRenderedPageBreak/>
        <w:t>5.</w:t>
      </w:r>
      <w:r>
        <w:tab/>
      </w:r>
      <w:r>
        <w:rPr>
          <w:noProof/>
        </w:rPr>
        <w:t>Ανατίθεται στην Επιτροπή η εξουσία να εκδίδει κατ’ εξουσιοδότηση πράξεις σύμφωνα με το άρθρο 100 με σκοπό τη συμπλήρωση του παρόντος κανονισμού με κανόνες σχετικά με τη γενεσιουργό αιτία και τη συναλλαγματική ισοτιμία που θα χρησιμοποιηθεί. Η συγκεκριμένη γενεσιουργός αιτία προσδιορίζεται με βάση τα ακόλουθα κριτήρια:</w:t>
      </w:r>
    </w:p>
    <w:p w:rsidR="00A57BFD" w:rsidRDefault="005B0D19">
      <w:pPr>
        <w:pStyle w:val="Point10"/>
        <w:rPr>
          <w:noProof/>
        </w:rPr>
      </w:pPr>
      <w:bookmarkStart w:id="350" w:name="ai7j2n106p5q1ra1"/>
      <w:bookmarkStart w:id="351" w:name="ai7j2n106p5q1ra1q1"/>
      <w:r>
        <w:rPr>
          <w:noProof/>
        </w:rPr>
        <w:t>α)</w:t>
      </w:r>
      <w:r>
        <w:rPr>
          <w:noProof/>
        </w:rPr>
        <w:tab/>
        <w:t>δυνατότητα ουσιαστικής εφαρμογής, το συντομότερο δυνατό, των προσαρμογών των συναλλαγματικών ισοτιμιών·</w:t>
      </w:r>
      <w:bookmarkEnd w:id="350"/>
      <w:bookmarkEnd w:id="351"/>
    </w:p>
    <w:p w:rsidR="00A57BFD" w:rsidRDefault="005B0D19">
      <w:pPr>
        <w:pStyle w:val="Point10"/>
        <w:rPr>
          <w:noProof/>
        </w:rPr>
      </w:pPr>
      <w:bookmarkStart w:id="352" w:name="ai7j2n106p5q1ra2"/>
      <w:bookmarkStart w:id="353" w:name="ai7j2n106p5q1ra2q1"/>
      <w:r>
        <w:rPr>
          <w:noProof/>
        </w:rPr>
        <w:t>β)</w:t>
      </w:r>
      <w:r>
        <w:rPr>
          <w:noProof/>
        </w:rPr>
        <w:tab/>
        <w:t>ομοιότητα των γενεσιουργών αιτιών για ανάλογες πράξεις που πραγματοποιούνται στο πλαίσιο της οργάνωσης της αγοράς,</w:t>
      </w:r>
      <w:bookmarkEnd w:id="352"/>
      <w:bookmarkEnd w:id="353"/>
    </w:p>
    <w:p w:rsidR="00A57BFD" w:rsidRDefault="005B0D19">
      <w:pPr>
        <w:pStyle w:val="Point10"/>
        <w:rPr>
          <w:noProof/>
        </w:rPr>
      </w:pPr>
      <w:bookmarkStart w:id="354" w:name="ai7j2n106p5q1ra3"/>
      <w:bookmarkStart w:id="355" w:name="ai7j2n106p5q1ra3q1"/>
      <w:r>
        <w:rPr>
          <w:noProof/>
        </w:rPr>
        <w:t>γ)</w:t>
      </w:r>
      <w:r>
        <w:rPr>
          <w:noProof/>
        </w:rPr>
        <w:tab/>
        <w:t>συνοχή μεταξύ των γενεσιουργών αιτιών για τις διάφορες τιμές και ποσά που αφορούν την οργάνωση αγοράς,</w:t>
      </w:r>
      <w:bookmarkEnd w:id="354"/>
      <w:bookmarkEnd w:id="355"/>
    </w:p>
    <w:p w:rsidR="00A57BFD" w:rsidRDefault="005B0D19">
      <w:pPr>
        <w:pStyle w:val="Point10"/>
        <w:rPr>
          <w:noProof/>
        </w:rPr>
      </w:pPr>
      <w:bookmarkStart w:id="356" w:name="ai7j2n106p5q1ra4"/>
      <w:bookmarkStart w:id="357" w:name="ai7j2n106p5q1ra4q1"/>
      <w:r>
        <w:rPr>
          <w:noProof/>
        </w:rPr>
        <w:t>δ)</w:t>
      </w:r>
      <w:r>
        <w:rPr>
          <w:noProof/>
        </w:rPr>
        <w:tab/>
        <w:t>πρακτική δυνατότητα διενέργειας και αποτελεσματικότητα των ελέγχων εφαρμογής των κατάλληλων συναλλαγματικών ισοτιμιών.</w:t>
      </w:r>
      <w:bookmarkEnd w:id="348"/>
      <w:bookmarkEnd w:id="349"/>
      <w:bookmarkEnd w:id="356"/>
      <w:bookmarkEnd w:id="357"/>
    </w:p>
    <w:p w:rsidR="00A57BFD" w:rsidRDefault="005B0D19">
      <w:pPr>
        <w:pStyle w:val="ManualNumPar1"/>
        <w:rPr>
          <w:noProof/>
        </w:rPr>
      </w:pPr>
      <w:bookmarkStart w:id="358" w:name="ai7j2n106p6"/>
      <w:bookmarkStart w:id="359" w:name="ai7j2n106p6q1"/>
      <w:r>
        <w:t>6.</w:t>
      </w:r>
      <w:r>
        <w:tab/>
      </w:r>
      <w:r>
        <w:rPr>
          <w:noProof/>
        </w:rPr>
        <w:t>Η Επιτροπή εξουσιοδοτείται να εκδίδει κατ’ εξουσιοδότηση πράξεις σύμφωνα με το άρθρο 100 με σκοπό τη συμπλήρωση του παρόντος κανονισμού με κανόνες σχετικά με τη συναλλαγματική ισοτιμία που εφαρμόζεται κατά την κατάρτιση των δηλώσεων δαπανών και την καταγραφή των πράξεων δημόσιας αποθεματοποίησης στους λογαριασμούς του οργανισμού πληρωμών.</w:t>
      </w:r>
      <w:bookmarkEnd w:id="358"/>
      <w:bookmarkEnd w:id="359"/>
    </w:p>
    <w:p w:rsidR="00A57BFD" w:rsidRDefault="005B0D19">
      <w:pPr>
        <w:pStyle w:val="Titrearticle1"/>
        <w:rPr>
          <w:noProof/>
        </w:rPr>
      </w:pPr>
      <w:r>
        <w:rPr>
          <w:noProof/>
        </w:rPr>
        <w:t>Άρθρο 93</w:t>
      </w:r>
      <w:r>
        <w:rPr>
          <w:noProof/>
        </w:rPr>
        <w:br/>
      </w:r>
      <w:r>
        <w:rPr>
          <w:b/>
          <w:noProof/>
        </w:rPr>
        <w:t>Μέτρα διασφάλισης και παρεκκλίσεις</w:t>
      </w:r>
    </w:p>
    <w:p w:rsidR="00A57BFD" w:rsidRDefault="005B0D19">
      <w:pPr>
        <w:pStyle w:val="ManualNumPar1"/>
        <w:rPr>
          <w:noProof/>
        </w:rPr>
      </w:pPr>
      <w:bookmarkStart w:id="360" w:name="ai7j2n107p1q1"/>
      <w:bookmarkStart w:id="361" w:name="ai7j2n107p1"/>
      <w:r>
        <w:t>1.</w:t>
      </w:r>
      <w:r>
        <w:tab/>
      </w:r>
      <w:r>
        <w:rPr>
          <w:noProof/>
        </w:rPr>
        <w:t xml:space="preserve">Η Επιτροπή μπορεί να εκδίδει εκτελεστικές πράξεις για τη διασφάλιση της εφαρμογής της ενωσιακής νομοθεσίας εάν νομισματικές πρακτικές εξαιρετικού χαρακτήρα που συνδέονται με το εθνικό νόμισμα θα μπορούσαν να τη θέσουν σε κίνδυνο. Οι εν λόγω εκτελεστικές πράξεις μπορούν να παρεκκλίνουν από τους υφιστάμενους κανόνες μόνο κατά την απολύτως αναγκαία χρονική περίοδο. </w:t>
      </w:r>
    </w:p>
    <w:p w:rsidR="00A57BFD" w:rsidRDefault="005B0D19">
      <w:pPr>
        <w:pStyle w:val="Text1"/>
        <w:rPr>
          <w:noProof/>
        </w:rPr>
      </w:pPr>
      <w:bookmarkStart w:id="362" w:name="ai7j2n107p1q2"/>
      <w:bookmarkEnd w:id="360"/>
      <w:r>
        <w:rPr>
          <w:noProof/>
        </w:rPr>
        <w:t>Οι εν λόγω εκτελεστικές πράξεις εκδίδονται σύμφωνα με τη διαδικασία εξέτασης που προβλέπεται στο άρθρο</w:t>
      </w:r>
      <w:bookmarkEnd w:id="362"/>
      <w:r>
        <w:rPr>
          <w:noProof/>
        </w:rPr>
        <w:t> 101 παράγραφος 3.</w:t>
      </w:r>
    </w:p>
    <w:p w:rsidR="00A57BFD" w:rsidRDefault="005B0D19">
      <w:pPr>
        <w:pStyle w:val="Text1"/>
        <w:rPr>
          <w:noProof/>
        </w:rPr>
      </w:pPr>
      <w:bookmarkStart w:id="363" w:name="ai7j2n107p1q3"/>
      <w:r>
        <w:rPr>
          <w:noProof/>
        </w:rPr>
        <w:t>Τα μέτρα που αναφέρονται στο πρώτο εδάφιο κοινοποιούνται αμέσως στο Ευρωπαϊκό Κοινοβούλιο, το Συμβούλιο και στα κράτη μέλη.</w:t>
      </w:r>
      <w:bookmarkEnd w:id="361"/>
      <w:bookmarkEnd w:id="363"/>
    </w:p>
    <w:p w:rsidR="00A57BFD" w:rsidRDefault="005B0D19">
      <w:pPr>
        <w:pStyle w:val="ManualNumPar1"/>
        <w:rPr>
          <w:noProof/>
        </w:rPr>
      </w:pPr>
      <w:bookmarkStart w:id="364" w:name="ai7j2n107p2"/>
      <w:bookmarkStart w:id="365" w:name="ai7j2n107p2q1"/>
      <w:r>
        <w:t>2.</w:t>
      </w:r>
      <w:r>
        <w:tab/>
      </w:r>
      <w:r>
        <w:rPr>
          <w:noProof/>
        </w:rPr>
        <w:t>Σε περίπτωση που νομισματικές πρακτικές εξαιρετικού χαρακτήρα που συνδέονται με το εθνικό νόμισμα ενδέχεται να θέσουν σε κίνδυνο την εφαρμογή της ενωσιακής νομοθεσίας, ανατίθεται στην Επιτροπή η εξουσία να εκδίδει κατ’ εξουσιοδότηση πράξεις σύμφωνα με το άρθρο 100 με σκοπό τη συμπλήρωση του παρόντος κανονισμού με κανόνες σχετικά με παρεκκλίσεις από το παρόν κεφάλαιο στις ακόλουθες περιπτώσεις:</w:t>
      </w:r>
    </w:p>
    <w:p w:rsidR="00A57BFD" w:rsidRDefault="005B0D19">
      <w:pPr>
        <w:pStyle w:val="Point10"/>
        <w:rPr>
          <w:noProof/>
        </w:rPr>
      </w:pPr>
      <w:bookmarkStart w:id="366" w:name="ai7j2n107p2q1ra1"/>
      <w:bookmarkStart w:id="367" w:name="ai7j2n107p2q1ra1q1"/>
      <w:r>
        <w:rPr>
          <w:noProof/>
        </w:rPr>
        <w:t>α)</w:t>
      </w:r>
      <w:r>
        <w:rPr>
          <w:noProof/>
        </w:rPr>
        <w:tab/>
        <w:t>όταν μια χώρα ακολουθεί ασυνήθεις συναλλαγματικές πρακτικές, όπως την εφαρμογή πολλαπλών συναλλαγματικών ισοτιμιών, ή εφαρμόζει συμφωνίες αντιπραγματισμού,</w:t>
      </w:r>
      <w:bookmarkEnd w:id="366"/>
      <w:bookmarkEnd w:id="367"/>
    </w:p>
    <w:p w:rsidR="00A57BFD" w:rsidRDefault="005B0D19">
      <w:pPr>
        <w:pStyle w:val="Point10"/>
        <w:rPr>
          <w:noProof/>
        </w:rPr>
      </w:pPr>
      <w:bookmarkStart w:id="368" w:name="ai7j2n107p2q1ra2"/>
      <w:bookmarkStart w:id="369" w:name="ai7j2n107p2q1ra2q1"/>
      <w:r>
        <w:rPr>
          <w:noProof/>
        </w:rPr>
        <w:t>β)</w:t>
      </w:r>
      <w:r>
        <w:rPr>
          <w:noProof/>
        </w:rPr>
        <w:tab/>
        <w:t>όταν κάποιες χώρες έχουν νόμισμα το οποίο δεν έχει εισαχθεί στις επίσημες αγορές συναλλάγματος ή των οποίων η εξέλιξη ενδέχεται να προκαλέσει στρεβλώσεις στις συναλλαγές.</w:t>
      </w:r>
      <w:bookmarkEnd w:id="364"/>
      <w:bookmarkEnd w:id="365"/>
      <w:bookmarkEnd w:id="368"/>
      <w:bookmarkEnd w:id="369"/>
    </w:p>
    <w:p w:rsidR="00A57BFD" w:rsidRDefault="005B0D19">
      <w:pPr>
        <w:pStyle w:val="Titrearticle1"/>
        <w:rPr>
          <w:noProof/>
        </w:rPr>
      </w:pPr>
      <w:r>
        <w:rPr>
          <w:noProof/>
        </w:rPr>
        <w:lastRenderedPageBreak/>
        <w:t>Άρθρο 94</w:t>
      </w:r>
      <w:r>
        <w:rPr>
          <w:noProof/>
        </w:rPr>
        <w:br/>
      </w:r>
      <w:r>
        <w:rPr>
          <w:b/>
          <w:noProof/>
        </w:rPr>
        <w:t>Χρήση του ευρώ από τα κράτη μέλη που δεν το έχουν υιοθετήσει</w:t>
      </w:r>
    </w:p>
    <w:p w:rsidR="00A57BFD" w:rsidRDefault="005B0D19">
      <w:pPr>
        <w:pStyle w:val="ManualNumPar1"/>
        <w:rPr>
          <w:noProof/>
        </w:rPr>
      </w:pPr>
      <w:bookmarkStart w:id="370" w:name="ai7j2n108p1"/>
      <w:bookmarkStart w:id="371" w:name="ai7j2n108p1q1"/>
      <w:r>
        <w:t>1.</w:t>
      </w:r>
      <w:r>
        <w:tab/>
      </w:r>
      <w:r>
        <w:rPr>
          <w:noProof/>
        </w:rPr>
        <w:t>Σε περίπτωση που ένα κράτος μέλος που δεν έχει υιοθετήσει το ευρώ αποφασίζει να καταβάλει τις δαπάνες που απορρέουν από την τομεακή γεωργική νομοθεσία σε ευρώ και όχι στο εθνικό του νόμισμα, το κράτος μέλος λαμβάνει μέτρα ώστε η χρησιμοποίηση του ευρώ να μην παρέχει συστηματικά πλεονεκτήματα σε σύγκριση με τη χρησιμοποίηση του εθνικού νομίσματος.</w:t>
      </w:r>
      <w:bookmarkEnd w:id="370"/>
      <w:bookmarkEnd w:id="371"/>
    </w:p>
    <w:p w:rsidR="00A57BFD" w:rsidRDefault="005B0D19">
      <w:pPr>
        <w:pStyle w:val="ManualNumPar1"/>
        <w:rPr>
          <w:noProof/>
        </w:rPr>
      </w:pPr>
      <w:bookmarkStart w:id="372" w:name="ai7j2n108p2"/>
      <w:bookmarkStart w:id="373" w:name="ai7j2n108p2q1"/>
      <w:r>
        <w:t>2.</w:t>
      </w:r>
      <w:r>
        <w:tab/>
      </w:r>
      <w:r>
        <w:rPr>
          <w:noProof/>
        </w:rPr>
        <w:t>Το κράτος μέλος κοινοποιεί τα σχεδιαζόμενα μέτρα στην Επιτροπή πριν να τεθούν σε ισχύ. Τα μέτρα δεν θα εφαρμόζονται ενόσω το κράτος μέλος δεν έχει λάβει την έγκριση της Επιτροπής.</w:t>
      </w:r>
      <w:bookmarkEnd w:id="372"/>
      <w:bookmarkEnd w:id="373"/>
    </w:p>
    <w:p w:rsidR="00A57BFD" w:rsidRDefault="005B0D19">
      <w:pPr>
        <w:pStyle w:val="ChapterTitle0"/>
        <w:rPr>
          <w:noProof/>
        </w:rPr>
      </w:pPr>
      <w:r>
        <w:rPr>
          <w:noProof/>
        </w:rPr>
        <w:t>Κεφάλαιο IIΙ</w:t>
      </w:r>
      <w:r>
        <w:rPr>
          <w:noProof/>
        </w:rPr>
        <w:br/>
        <w:t>Εκθέσεις</w:t>
      </w:r>
    </w:p>
    <w:p w:rsidR="00A57BFD" w:rsidRDefault="005B0D19">
      <w:pPr>
        <w:pStyle w:val="Titrearticle1"/>
        <w:tabs>
          <w:tab w:val="left" w:pos="3870"/>
          <w:tab w:val="center" w:pos="4536"/>
        </w:tabs>
        <w:rPr>
          <w:noProof/>
        </w:rPr>
      </w:pPr>
      <w:r>
        <w:rPr>
          <w:noProof/>
        </w:rPr>
        <w:t>Άρθρο 95</w:t>
      </w:r>
      <w:r>
        <w:rPr>
          <w:noProof/>
        </w:rPr>
        <w:br/>
      </w:r>
      <w:r>
        <w:rPr>
          <w:b/>
          <w:noProof/>
        </w:rPr>
        <w:t>Ετήσια δημοσιονομική έκθεση</w:t>
      </w:r>
    </w:p>
    <w:p w:rsidR="00A57BFD" w:rsidRDefault="005B0D19">
      <w:pPr>
        <w:rPr>
          <w:noProof/>
        </w:rPr>
      </w:pPr>
      <w:r>
        <w:rPr>
          <w:noProof/>
        </w:rPr>
        <w:t>Πριν από το τέλος του Σεπτεμβρίου του έτους που ακολουθεί κάθε οικονομικό έτος, η Επιτροπή συντάσσει δημοσιονομική έκθεση σχετικά με τη διαχείριση των ταμείων κατά το προηγούμενο οικονομικό έτος και την υποβάλλει στο Ευρωπαϊκό Κοινοβούλιο και το Συμβούλιο.</w:t>
      </w:r>
    </w:p>
    <w:p w:rsidR="00A57BFD" w:rsidRDefault="005B0D19">
      <w:pPr>
        <w:pStyle w:val="ChapterTitle0"/>
        <w:rPr>
          <w:noProof/>
        </w:rPr>
      </w:pPr>
      <w:r>
        <w:rPr>
          <w:noProof/>
        </w:rPr>
        <w:t>Κεφάλαιο IV</w:t>
      </w:r>
      <w:r>
        <w:rPr>
          <w:noProof/>
        </w:rPr>
        <w:br/>
        <w:t>Διαφάνεια</w:t>
      </w:r>
    </w:p>
    <w:p w:rsidR="00A57BFD" w:rsidRDefault="005B0D19">
      <w:pPr>
        <w:pStyle w:val="Titrearticle1"/>
        <w:rPr>
          <w:noProof/>
        </w:rPr>
      </w:pPr>
      <w:r>
        <w:rPr>
          <w:noProof/>
        </w:rPr>
        <w:t>Άρθρο 96</w:t>
      </w:r>
      <w:r>
        <w:rPr>
          <w:noProof/>
        </w:rPr>
        <w:br/>
      </w:r>
      <w:r>
        <w:rPr>
          <w:b/>
          <w:noProof/>
        </w:rPr>
        <w:t>Δημοσίευση πληροφοριών σχετικά με τους δικαιούχους</w:t>
      </w:r>
    </w:p>
    <w:p w:rsidR="00A57BFD" w:rsidRDefault="005B0D19">
      <w:pPr>
        <w:pStyle w:val="ManualNumPar1"/>
        <w:rPr>
          <w:noProof/>
        </w:rPr>
      </w:pPr>
      <w:r>
        <w:t>1.</w:t>
      </w:r>
      <w:r>
        <w:tab/>
      </w:r>
      <w:r>
        <w:rPr>
          <w:noProof/>
        </w:rPr>
        <w:t>Τα κράτη μέλη μεριμνούν για την ετήσια εκ των υστέρων δημοσιοποίηση των δικαιούχων των ταμείων σύμφωνα με το άρθρο 44 παράγραφοι 3-5 του κανονισμού (ΕΕ).../... [ΚΚΔ] και τις παραγράφους 2, 3 και 4 του παρόντος άρθρου.</w:t>
      </w:r>
    </w:p>
    <w:p w:rsidR="00A57BFD" w:rsidRDefault="005B0D19">
      <w:pPr>
        <w:pStyle w:val="ManualNumPar1"/>
        <w:rPr>
          <w:noProof/>
        </w:rPr>
      </w:pPr>
      <w:r>
        <w:t>2.</w:t>
      </w:r>
      <w:r>
        <w:tab/>
      </w:r>
      <w:r>
        <w:rPr>
          <w:noProof/>
        </w:rPr>
        <w:t>Το άρθρο 44 παράγραφοι 3-5 του κανονισμού (ΕΕ).../... [ΚΚΔ] εφαρμόζεται όσον αφορά τους δικαιούχους του ΕΓΤΑΑ και του ΕΓΤΕ, κατά περίπτωση· ωστόσο, τα ποσά που αντιστοιχούν στην εθνική συνεισφορά και το ποσοστό συγχρηματοδότησης, όπως προβλέπεται στο άρθρο 44 παράγραφος 3 στοιχεία  η) και θ) του εν λόγω κανονισμού, δεν εφαρμόζονται στο ΕΓΤΕ.</w:t>
      </w:r>
    </w:p>
    <w:p w:rsidR="00A57BFD" w:rsidRDefault="005B0D19">
      <w:pPr>
        <w:pStyle w:val="ManualNumPar1"/>
        <w:rPr>
          <w:noProof/>
        </w:rPr>
      </w:pPr>
      <w:r>
        <w:t>3.</w:t>
      </w:r>
      <w:r>
        <w:tab/>
      </w:r>
      <w:r>
        <w:rPr>
          <w:noProof/>
        </w:rPr>
        <w:t>Για τους σκοπούς του παρόντος άρθρου:</w:t>
      </w:r>
    </w:p>
    <w:p w:rsidR="00A57BFD" w:rsidRDefault="005B0D19">
      <w:pPr>
        <w:pStyle w:val="Tiret1"/>
        <w:numPr>
          <w:ilvl w:val="0"/>
          <w:numId w:val="86"/>
        </w:numPr>
        <w:rPr>
          <w:noProof/>
        </w:rPr>
      </w:pPr>
      <w:r>
        <w:rPr>
          <w:noProof/>
        </w:rPr>
        <w:t xml:space="preserve">ως «πράξη» νοείται μέτρο ή παρέμβαση· </w:t>
      </w:r>
    </w:p>
    <w:p w:rsidR="00A57BFD" w:rsidRDefault="005B0D19">
      <w:pPr>
        <w:pStyle w:val="Tiret1"/>
        <w:rPr>
          <w:noProof/>
        </w:rPr>
      </w:pPr>
      <w:r>
        <w:rPr>
          <w:noProof/>
        </w:rPr>
        <w:t xml:space="preserve">ως «τοποθεσία» νοείται ο δήμος στον οποίο κατοικεί ή είναι εγγεγραμμένος ο δικαιούχος και, εφόσον υπάρχει, ο ταχυδρομικός κωδικός ή το μέρος του ταχυδρομικού κωδικού που προσδιορίζει τον δήμο. </w:t>
      </w:r>
    </w:p>
    <w:p w:rsidR="00A57BFD" w:rsidRDefault="005B0D19">
      <w:pPr>
        <w:pStyle w:val="ManualNumPar1"/>
        <w:rPr>
          <w:noProof/>
        </w:rPr>
      </w:pPr>
      <w:r>
        <w:t>4.</w:t>
      </w:r>
      <w:r>
        <w:tab/>
      </w:r>
      <w:r>
        <w:rPr>
          <w:noProof/>
        </w:rPr>
        <w:t>Οι πληροφορίες που αναφέρονται στο άρθρο 44 παράγραφοι 3-5 του εν λόγω κανονισμού διατίθενται σε έναν ενιαίο ιστότοπο ανά κράτος μέλος. Παραμένουν διαθέσιμες επί μία διετία από την ημερομηνία της αρχικής δημοσίευσης.</w:t>
      </w:r>
    </w:p>
    <w:p w:rsidR="00A57BFD" w:rsidRDefault="005B0D19">
      <w:pPr>
        <w:pStyle w:val="Text1"/>
        <w:rPr>
          <w:noProof/>
        </w:rPr>
      </w:pPr>
      <w:r>
        <w:rPr>
          <w:noProof/>
        </w:rPr>
        <w:t xml:space="preserve">Τα κράτη μέλη δεν δημοσιοποιούν τις πληροφορίες που αναφέρονται στο άρθρο 44 παράγραφος 3 στοιχεία α) και β) του κανονισμού (ΕΕ) αριθ.../... [ΚΚΔ], εφόσον το </w:t>
      </w:r>
      <w:r>
        <w:rPr>
          <w:noProof/>
        </w:rPr>
        <w:lastRenderedPageBreak/>
        <w:t xml:space="preserve">ποσό της ενίσχυσης που έλαβε ο δικαιούχος εντός ενός έτους είναι ίσο ή μικρότερο από 1 250 EUR.  </w:t>
      </w:r>
    </w:p>
    <w:p w:rsidR="00A57BFD" w:rsidRDefault="005B0D19">
      <w:pPr>
        <w:pStyle w:val="Titrearticle1"/>
        <w:rPr>
          <w:noProof/>
        </w:rPr>
      </w:pPr>
      <w:r>
        <w:rPr>
          <w:noProof/>
        </w:rPr>
        <w:t>Άρθρο 97</w:t>
      </w:r>
      <w:r>
        <w:rPr>
          <w:noProof/>
        </w:rPr>
        <w:br/>
      </w:r>
      <w:r>
        <w:rPr>
          <w:b/>
          <w:noProof/>
        </w:rPr>
        <w:t>Ενημέρωση των δικαιούχων σχετικά με τη δημοσίευση δεδομένων που τους αφορούν</w:t>
      </w:r>
    </w:p>
    <w:p w:rsidR="00A57BFD" w:rsidRDefault="005B0D19">
      <w:pPr>
        <w:rPr>
          <w:noProof/>
        </w:rPr>
      </w:pPr>
      <w:bookmarkStart w:id="374" w:name="ai7j4n113q1"/>
      <w:r>
        <w:rPr>
          <w:noProof/>
        </w:rPr>
        <w:t>Τα κράτη μέλη ενημερώνουν τους δικαιούχους ότι τα στοιχεία τους θα δημοσιοποιηθούν σύμφωνα με το άρθρο 96 και ότι τα στοιχεία ενδέχεται να αποτελέσουν αντικείμενο επεξεργασίας από τις αρχές ελέγχου και διερεύνησης της Ένωσης και των κρατών μελών προς τον σκοπό της διαφύλαξης των οικονομικών συμφερόντων της Ένωσης.</w:t>
      </w:r>
      <w:bookmarkEnd w:id="374"/>
    </w:p>
    <w:p w:rsidR="00A57BFD" w:rsidRDefault="005B0D19">
      <w:pPr>
        <w:rPr>
          <w:noProof/>
        </w:rPr>
      </w:pPr>
      <w:bookmarkStart w:id="375" w:name="ai7j4n113q2"/>
      <w:r>
        <w:rPr>
          <w:noProof/>
        </w:rPr>
        <w:t>Σύμφωνα με τις διατάξεις του κανονισμού (ΕΕ) 2016/679, όσον αφορά τα προσωπικά δεδομένα, τα κράτη μέλη ενημερώνουν τους δικαιούχους για τα δικαιώματά τους σύμφωνα με τον εν λόγω κανονισμό και για τις ισχύουσες διαδικασίες για την άσκηση των εν λόγω δικαιωμάτων.</w:t>
      </w:r>
      <w:bookmarkEnd w:id="375"/>
    </w:p>
    <w:p w:rsidR="00A57BFD" w:rsidRDefault="005B0D19">
      <w:pPr>
        <w:pStyle w:val="Titrearticle1"/>
        <w:rPr>
          <w:noProof/>
        </w:rPr>
      </w:pPr>
      <w:r>
        <w:rPr>
          <w:noProof/>
        </w:rPr>
        <w:t>Άρθρο 98</w:t>
      </w:r>
      <w:r>
        <w:rPr>
          <w:noProof/>
        </w:rPr>
        <w:br/>
      </w:r>
      <w:r>
        <w:rPr>
          <w:b/>
          <w:noProof/>
        </w:rPr>
        <w:t>Εκτελεστικές αρμοδιότητες</w:t>
      </w:r>
    </w:p>
    <w:p w:rsidR="00A57BFD" w:rsidRDefault="005B0D19">
      <w:pPr>
        <w:rPr>
          <w:noProof/>
        </w:rPr>
      </w:pPr>
      <w:bookmarkStart w:id="376" w:name="ai7j4n114q1"/>
      <w:r>
        <w:rPr>
          <w:noProof/>
        </w:rPr>
        <w:t>Η Επιτροπή εκδίδει εκτελεστικές πράξεις για τη θέσπιση κανόνων σχετικά με:</w:t>
      </w:r>
    </w:p>
    <w:p w:rsidR="00A57BFD" w:rsidRDefault="005B0D19">
      <w:pPr>
        <w:pStyle w:val="Point0"/>
        <w:rPr>
          <w:noProof/>
        </w:rPr>
      </w:pPr>
      <w:bookmarkStart w:id="377" w:name="ai7j4n114q1ra1"/>
      <w:bookmarkStart w:id="378" w:name="ai7j4n114q1ra1q1"/>
      <w:r>
        <w:rPr>
          <w:noProof/>
        </w:rPr>
        <w:t>α)</w:t>
      </w:r>
      <w:r>
        <w:rPr>
          <w:noProof/>
        </w:rPr>
        <w:tab/>
        <w:t>τη μορφή, συμπεριλαμβανόμενου του τρόπου παρουσίασης ανά μέτρο ή παρέμβαση, και το χρονοδιάγραμμα της δημοσιοποίησης, που προβλέπονται στα άρθρα 96 και 97·</w:t>
      </w:r>
      <w:bookmarkEnd w:id="377"/>
      <w:bookmarkEnd w:id="378"/>
    </w:p>
    <w:p w:rsidR="00A57BFD" w:rsidRDefault="005B0D19">
      <w:pPr>
        <w:pStyle w:val="Point0"/>
        <w:rPr>
          <w:noProof/>
        </w:rPr>
      </w:pPr>
      <w:bookmarkStart w:id="379" w:name="ai7j4n114q1ra2"/>
      <w:bookmarkStart w:id="380" w:name="ai7j4n114q1ra2q1"/>
      <w:r>
        <w:rPr>
          <w:noProof/>
        </w:rPr>
        <w:t>β)</w:t>
      </w:r>
      <w:r>
        <w:rPr>
          <w:noProof/>
        </w:rPr>
        <w:tab/>
        <w:t>την ενιαία εφαρμογή του άρθρου 97·</w:t>
      </w:r>
      <w:bookmarkEnd w:id="379"/>
      <w:bookmarkEnd w:id="380"/>
    </w:p>
    <w:p w:rsidR="00A57BFD" w:rsidRDefault="005B0D19">
      <w:pPr>
        <w:pStyle w:val="Point0"/>
        <w:rPr>
          <w:noProof/>
        </w:rPr>
      </w:pPr>
      <w:bookmarkStart w:id="381" w:name="ai7j4n114q1ra3"/>
      <w:bookmarkStart w:id="382" w:name="ai7j4n114q1ra3q1"/>
      <w:r>
        <w:rPr>
          <w:noProof/>
        </w:rPr>
        <w:t>γ)</w:t>
      </w:r>
      <w:r>
        <w:rPr>
          <w:noProof/>
        </w:rPr>
        <w:tab/>
        <w:t>τη συνεργασία μεταξύ της Επιτροπής και των κρατών μελών.</w:t>
      </w:r>
      <w:bookmarkEnd w:id="376"/>
      <w:bookmarkEnd w:id="381"/>
      <w:bookmarkEnd w:id="382"/>
    </w:p>
    <w:p w:rsidR="00A57BFD" w:rsidRDefault="005B0D19">
      <w:pPr>
        <w:rPr>
          <w:noProof/>
        </w:rPr>
      </w:pPr>
      <w:bookmarkStart w:id="383" w:name="ai7j4n114q2"/>
      <w:r>
        <w:rPr>
          <w:noProof/>
        </w:rPr>
        <w:t>Οι εν λόγω εκτελεστικές πράξεις εκδίδονται σύμφωνα με τη διαδικασία εξέτασης που προβλέπεται στο άρθρο</w:t>
      </w:r>
      <w:bookmarkEnd w:id="383"/>
      <w:r>
        <w:rPr>
          <w:noProof/>
        </w:rPr>
        <w:t> 101 παράγραφος 3.</w:t>
      </w:r>
    </w:p>
    <w:p w:rsidR="00A57BFD" w:rsidRDefault="005B0D19">
      <w:pPr>
        <w:pStyle w:val="ChapterTitle0"/>
        <w:rPr>
          <w:noProof/>
        </w:rPr>
      </w:pPr>
      <w:r>
        <w:rPr>
          <w:noProof/>
        </w:rPr>
        <w:t>Κεφάλαιο V</w:t>
      </w:r>
      <w:r>
        <w:rPr>
          <w:noProof/>
        </w:rPr>
        <w:br/>
        <w:t>Προστασία δεδομένων προσωπικού χαρακτήρα</w:t>
      </w:r>
    </w:p>
    <w:p w:rsidR="00A57BFD" w:rsidRDefault="005B0D19">
      <w:pPr>
        <w:pStyle w:val="Titrearticle1"/>
        <w:rPr>
          <w:noProof/>
        </w:rPr>
      </w:pPr>
      <w:r>
        <w:rPr>
          <w:noProof/>
        </w:rPr>
        <w:t>Άρθρο 99</w:t>
      </w:r>
      <w:r>
        <w:rPr>
          <w:noProof/>
        </w:rPr>
        <w:br/>
      </w:r>
      <w:r>
        <w:rPr>
          <w:b/>
          <w:noProof/>
        </w:rPr>
        <w:t>Επεξεργασία και προστασία των δεδομένων προσωπικού χαρακτήρα</w:t>
      </w:r>
    </w:p>
    <w:p w:rsidR="00A57BFD" w:rsidRDefault="005B0D19">
      <w:pPr>
        <w:pStyle w:val="ManualNumPar1"/>
        <w:rPr>
          <w:noProof/>
        </w:rPr>
      </w:pPr>
      <w:r>
        <w:t>1.</w:t>
      </w:r>
      <w:r>
        <w:tab/>
      </w:r>
      <w:r>
        <w:rPr>
          <w:noProof/>
        </w:rPr>
        <w:t>Με την επιφύλαξη των άρθρων 96 έως 98, τα κράτη μέλη και η Επιτροπή συλλέγουν δεδομένα προσωπικού χαρακτήρα για τον σκοπό της εκπλήρωσης των αντίστοιχων υποχρεώσεών τους όσον αφορά τη διαχείριση, τον έλεγχο, τον λογιστικό έλεγχο, καθώς και την παρακολούθηση και αξιολόγηση δυνάμει του παρόντος κανονισμού, ιδίως δε των υποχρεώσεων που καθορίζονται στον τίτλο II κεφάλαιο II, στον τίτλο III κεφάλαια III και IV, στον τίτλο IV και στον τίτλο V κεφάλαιο III, καθώς και για στατιστικούς λόγους, και δεν επεξεργάζονται τα δεδομένα αυτά κατά τρόπο που δεν συμβιβάζεται με τον σκοπό αυτό.</w:t>
      </w:r>
    </w:p>
    <w:p w:rsidR="00A57BFD" w:rsidRDefault="005B0D19">
      <w:pPr>
        <w:pStyle w:val="ManualNumPar1"/>
        <w:rPr>
          <w:noProof/>
        </w:rPr>
      </w:pPr>
      <w:r>
        <w:t>2.</w:t>
      </w:r>
      <w:r>
        <w:tab/>
      </w:r>
      <w:r>
        <w:rPr>
          <w:noProof/>
        </w:rPr>
        <w:t>Κατά την επεξεργασία δεδομένων προσωπικού χαρακτήρα για σκοπούς παρακολούθησης και αξιολόγησης δυνάμει του κανονισμού (ΕΕ) …/… [κανονισμός για το στρατηγικό σχέδιο της ΚΓΠ], καθώς και για στατιστικούς λόγους, τα δεδομένα καθίστανται ανώνυμα και υποβάλλονται σε επεξεργασία μόνον σε συγκεντρωτική μορφή.</w:t>
      </w:r>
    </w:p>
    <w:p w:rsidR="00A57BFD" w:rsidRDefault="005B0D19">
      <w:pPr>
        <w:pStyle w:val="ManualNumPar1"/>
        <w:rPr>
          <w:noProof/>
        </w:rPr>
      </w:pPr>
      <w:r>
        <w:t>3.</w:t>
      </w:r>
      <w:r>
        <w:tab/>
      </w:r>
      <w:r>
        <w:rPr>
          <w:noProof/>
        </w:rPr>
        <w:t xml:space="preserve">Τα δεδομένα προσωπικού χαρακτήρα υποβάλλονται σε επεξεργασία σύμφωνα με τους κανονισμούς (ΕΚ) αριθ. 45/2001 και (ΕΕ) 2016/679. Ειδικότερα, τα δεδομένα </w:t>
      </w:r>
      <w:r>
        <w:rPr>
          <w:noProof/>
        </w:rPr>
        <w:lastRenderedPageBreak/>
        <w:t>αυτά δεν αποθηκεύονται σε μορφή η οποία επιτρέπει την ταυτοποίηση των οικείων προσώπων για χρονικό διάστημα μεγαλύτερο από το απαραίτητο για τους σκοπούς για τους οποίους συλλέχθηκαν ή για τους οποίους υφίστανται περαιτέρω επεξεργασία, λαμβανομένων υπόψη των ελάχιστων περιόδων διατήρησης που καθορίζονται στις κείμενες διατάξεις του εθνικού δικαίου και του δικαίου της Ένωσης.</w:t>
      </w:r>
    </w:p>
    <w:p w:rsidR="00A57BFD" w:rsidRDefault="005B0D19">
      <w:pPr>
        <w:pStyle w:val="ManualNumPar1"/>
        <w:rPr>
          <w:noProof/>
        </w:rPr>
      </w:pPr>
      <w:r>
        <w:t>4.</w:t>
      </w:r>
      <w:r>
        <w:tab/>
      </w:r>
      <w:r>
        <w:rPr>
          <w:noProof/>
        </w:rPr>
        <w:t>Τα κράτη μέλη ενημερώνουν τους ενδιαφερομένους ότι τα προσωπικά δεδομένα τους μπορούν να υποστούν επεξεργασία από εθνικούς και ενωσιακούς φορείς σύμφωνα με την παράγραφο 1 και ότι, στο πλαίσιο αυτό, απολαύουν των δικαιωμάτων προστασίας των δεδομένων που ορίζονται στους κανονισμούς (ΕΚ) αριθ. 45/2001 και (ΕΕ) 2016/679.</w:t>
      </w:r>
    </w:p>
    <w:p w:rsidR="00A57BFD" w:rsidRDefault="005B0D19">
      <w:pPr>
        <w:pStyle w:val="PartTitle"/>
        <w:rPr>
          <w:noProof/>
        </w:rPr>
      </w:pPr>
      <w:r>
        <w:rPr>
          <w:noProof/>
        </w:rPr>
        <w:lastRenderedPageBreak/>
        <w:t>Τίτλος VI</w:t>
      </w:r>
      <w:r>
        <w:rPr>
          <w:noProof/>
        </w:rPr>
        <w:br/>
        <w:t>Κατ’ εξουσιοδότηση πράξεις και εκτελεστικές πράξεις</w:t>
      </w:r>
    </w:p>
    <w:p w:rsidR="00A57BFD" w:rsidRDefault="005B0D19">
      <w:pPr>
        <w:pStyle w:val="Titrearticle1"/>
        <w:rPr>
          <w:noProof/>
        </w:rPr>
      </w:pPr>
      <w:r>
        <w:rPr>
          <w:noProof/>
        </w:rPr>
        <w:t>Άρθρο 100</w:t>
      </w:r>
      <w:r>
        <w:rPr>
          <w:noProof/>
        </w:rPr>
        <w:br/>
      </w:r>
      <w:r>
        <w:rPr>
          <w:b/>
          <w:noProof/>
        </w:rPr>
        <w:t>Άσκηση της εξουσιοδότησης</w:t>
      </w:r>
    </w:p>
    <w:p w:rsidR="00A57BFD" w:rsidRDefault="005B0D19">
      <w:pPr>
        <w:pStyle w:val="ManualNumPar1"/>
        <w:rPr>
          <w:noProof/>
        </w:rPr>
      </w:pPr>
      <w:bookmarkStart w:id="384" w:name="ai8n115p1"/>
      <w:bookmarkStart w:id="385" w:name="ai8n115p1q1"/>
      <w:r>
        <w:t>1.</w:t>
      </w:r>
      <w:r>
        <w:tab/>
      </w:r>
      <w:r>
        <w:rPr>
          <w:noProof/>
        </w:rPr>
        <w:t>Ανατίθεται στην Επιτροπή η εξουσία να εκδίδει κατ’ εξουσιοδότηση πράξεις υπό τους όρους του παρόντος άρθρου.</w:t>
      </w:r>
      <w:bookmarkEnd w:id="384"/>
      <w:bookmarkEnd w:id="385"/>
    </w:p>
    <w:p w:rsidR="00A57BFD" w:rsidRDefault="005B0D19">
      <w:pPr>
        <w:pStyle w:val="ManualNumPar1"/>
        <w:rPr>
          <w:noProof/>
        </w:rPr>
      </w:pPr>
      <w:bookmarkStart w:id="386" w:name="ai8n115p2"/>
      <w:bookmarkStart w:id="387" w:name="ai8n115p2q1"/>
      <w:r>
        <w:t>2.</w:t>
      </w:r>
      <w:r>
        <w:tab/>
      </w:r>
      <w:r>
        <w:rPr>
          <w:noProof/>
        </w:rPr>
        <w:t>Η εξουσία έκδοσης των κατ’ εξουσιοδότηση πράξεων που αναφέρονται στα άρθρα 10, 15, 21, 36, 38, 39, 42, 45, 50, 52, 53, 58, 62, 72, 74, 79, 86, 92, 93 και 103 ανατίθεται στην Επιτροπή για χρονική περίοδο επτά ετών από την ημερομηνία έναρξης ισχύος του παρόντος κανονισμού. Η Επιτροπή συντάσσει έκθεση σχετικά με τις εξουσίες που της έχουν ανατεθεί το αργότερο εννέα μήνες πριν από το πέρας της επταετούς περιόδου. Η εξουσιοδότηση ανανεώνεται σιωπηρά για περιόδους ίσης διάρκειας, εκτός εάν το Ευρωπαϊκό Κοινοβούλιο ή το Συμβούλιο προβάλουν αντιρρήσεις το αργότερο εντός τριών μηνών πριν από τη λήξη της κάθε περιόδου.</w:t>
      </w:r>
      <w:bookmarkEnd w:id="386"/>
      <w:bookmarkEnd w:id="387"/>
    </w:p>
    <w:p w:rsidR="00A57BFD" w:rsidRDefault="005B0D19">
      <w:pPr>
        <w:pStyle w:val="ManualNumPar1"/>
        <w:rPr>
          <w:noProof/>
        </w:rPr>
      </w:pPr>
      <w:bookmarkStart w:id="388" w:name="ai8n115p3"/>
      <w:bookmarkStart w:id="389" w:name="ai8n115p3q1"/>
      <w:r>
        <w:t>3.</w:t>
      </w:r>
      <w:r>
        <w:tab/>
      </w:r>
      <w:r>
        <w:rPr>
          <w:noProof/>
        </w:rPr>
        <w:t xml:space="preserve">Η εξουσιοδότηση που αναφέρεται στα άρθρα 10, 15, 21, 36, 38, 39, 42, 45, 50, 52, 53, 58, 62, 72, 74, 79, 86, 92, 93 και 103 μπορεί να ανακληθεί ανά πάσα στιγμή από το Ευρωπαϊκό Κοινοβούλιο ή από το Συμβούλιο. Η απόφαση ανάκλησης επιφέρει τη λήξη της εξουσιοδότησης που προσδιορίζεται στην εν λόγω απόφαση. Αρχίζει να ισχύει την επομένη της δημοσίευσης της απόφασης στην </w:t>
      </w:r>
      <w:r>
        <w:rPr>
          <w:i/>
          <w:noProof/>
        </w:rPr>
        <w:t>Επίσημη Εφημερίδα της Ευρωπαϊκής Ένωσης</w:t>
      </w:r>
      <w:r>
        <w:rPr>
          <w:noProof/>
        </w:rPr>
        <w:t xml:space="preserve"> ή σε μεταγενέστερη ημερομηνία που ορίζεται σε αυτήν. Δεν θίγει την εγκυρότητα των κατ’ εξουσιοδότηση πράξεων που ισχύουν ήδη.</w:t>
      </w:r>
      <w:bookmarkEnd w:id="388"/>
      <w:bookmarkEnd w:id="389"/>
    </w:p>
    <w:p w:rsidR="00A57BFD" w:rsidRDefault="005B0D19">
      <w:pPr>
        <w:pStyle w:val="ManualNumPar1"/>
        <w:rPr>
          <w:noProof/>
        </w:rPr>
      </w:pPr>
      <w:r>
        <w:t>4.</w:t>
      </w:r>
      <w:r>
        <w:tab/>
      </w:r>
      <w:r>
        <w:rPr>
          <w:noProof/>
        </w:rPr>
        <w:t>Πριν από την έκδοση κατ’ εξουσιοδότηση πράξης, η Επιτροπή διεξάγει διαβουλεύσεις με εμπειρογνώμονες που ορίζουν τα κράτη μέλη σύμφωνα με τις αρχές που καθορίζονται στη διοργανική συμφωνία της 13ης Απριλίου 2016 για τη βελτίωση του νομοθετικού έργου.</w:t>
      </w:r>
    </w:p>
    <w:p w:rsidR="00A57BFD" w:rsidRDefault="005B0D19">
      <w:pPr>
        <w:pStyle w:val="ManualNumPar1"/>
        <w:rPr>
          <w:noProof/>
        </w:rPr>
      </w:pPr>
      <w:bookmarkStart w:id="390" w:name="ai8n115p4"/>
      <w:bookmarkStart w:id="391" w:name="ai8n115p4q1"/>
      <w:r>
        <w:t>5.</w:t>
      </w:r>
      <w:r>
        <w:tab/>
      </w:r>
      <w:r>
        <w:rPr>
          <w:noProof/>
        </w:rPr>
        <w:t>Μόλις εκδώσει κατ’ εξουσιοδότηση πράξη, η Επιτροπή την κοινοποιεί ταυτόχρονα στο Ευρωπαϊκό Κοινοβούλιο και στο Συμβούλιο.</w:t>
      </w:r>
      <w:bookmarkEnd w:id="390"/>
      <w:bookmarkEnd w:id="391"/>
    </w:p>
    <w:p w:rsidR="00A57BFD" w:rsidRDefault="005B0D19">
      <w:pPr>
        <w:pStyle w:val="ManualNumPar1"/>
        <w:rPr>
          <w:noProof/>
        </w:rPr>
      </w:pPr>
      <w:bookmarkStart w:id="392" w:name="ai8n115p5"/>
      <w:bookmarkStart w:id="393" w:name="ai8n115p5q1"/>
      <w:r>
        <w:t>6.</w:t>
      </w:r>
      <w:r>
        <w:tab/>
      </w:r>
      <w:r>
        <w:rPr>
          <w:noProof/>
        </w:rPr>
        <w:t>Η κατ’ εξουσιοδότηση πράξη που εκδίδεται σύμφωνα με τα άρθρα 10, 15, 21, 36, 38, 39, 42, 45, 50, 52, 53, 58, 62, 72, 74, 79, 86, 92, 93 και 103 αρχίζει να ισχύει μόνο εάν δεν έχουν αντιταχθεί σε αυτή ούτε το Ευρωπαϊκό Κοινοβούλιο ούτε το Συμβούλιο εντός δύο μηνών από την κοινοποίηση της πράξης στο Ευρωπαϊκό Κοινοβούλιο και στο Συμβούλιο ή εάν, πριν από την παρέλευση εν λόγω χρονικού διαστήματος, το Ευρωπαϊκό Κοινοβούλιο και το Συμβούλιο ενημερώσουν αμφότερα την Επιτροπή ότι δεν σκοπεύουν να προβάλουν αντίρρηση. Η ανωτέρω προθεσμία παρατείνεται κατά δύο μήνες με πρωτοβουλία του Ευρωπαϊκού Κοινοβουλίου ή του Συμβουλίου.</w:t>
      </w:r>
      <w:bookmarkEnd w:id="392"/>
      <w:bookmarkEnd w:id="393"/>
    </w:p>
    <w:p w:rsidR="00A57BFD" w:rsidRDefault="005B0D19">
      <w:pPr>
        <w:pStyle w:val="Titrearticle1"/>
        <w:rPr>
          <w:noProof/>
        </w:rPr>
      </w:pPr>
      <w:bookmarkStart w:id="394" w:name="ai8n116g"/>
      <w:bookmarkStart w:id="395" w:name="ai8n116"/>
      <w:r>
        <w:rPr>
          <w:noProof/>
        </w:rPr>
        <w:t>Άρθρο 101</w:t>
      </w:r>
      <w:r>
        <w:rPr>
          <w:noProof/>
        </w:rPr>
        <w:br/>
      </w:r>
      <w:r>
        <w:rPr>
          <w:b/>
          <w:noProof/>
        </w:rPr>
        <w:t>Διαδικασία επιτροπής</w:t>
      </w:r>
      <w:bookmarkEnd w:id="394"/>
      <w:r>
        <w:rPr>
          <w:b/>
          <w:noProof/>
        </w:rPr>
        <w:t xml:space="preserve"> </w:t>
      </w:r>
    </w:p>
    <w:p w:rsidR="00A57BFD" w:rsidRDefault="005B0D19">
      <w:pPr>
        <w:pStyle w:val="ManualNumPar1"/>
        <w:rPr>
          <w:noProof/>
        </w:rPr>
      </w:pPr>
      <w:bookmarkStart w:id="396" w:name="ai8n116p1q1"/>
      <w:bookmarkStart w:id="397" w:name="ai8n116p1"/>
      <w:r>
        <w:t>1.</w:t>
      </w:r>
      <w:r>
        <w:tab/>
      </w:r>
      <w:r>
        <w:rPr>
          <w:noProof/>
        </w:rPr>
        <w:t>Η Επιτροπή επικουρείται από επιτροπή που φέρει την ονομασία «επιτροπή γεωργικών ταμείων». Πρόκειται για επιτροπή κατά την έννοια του κανονισμού (ΕΕ) αριθ. 182/2011.</w:t>
      </w:r>
      <w:bookmarkEnd w:id="396"/>
    </w:p>
    <w:p w:rsidR="00A57BFD" w:rsidRDefault="005B0D19">
      <w:pPr>
        <w:pStyle w:val="Text1"/>
        <w:rPr>
          <w:noProof/>
        </w:rPr>
      </w:pPr>
      <w:bookmarkStart w:id="398" w:name="ai8n116p1q2"/>
      <w:r>
        <w:rPr>
          <w:noProof/>
        </w:rPr>
        <w:t xml:space="preserve">Για τους σκοπούς των άρθρων 10, 11, 15, 16, 19, 21, 24, 30, 37, 38, 39, 40, 42, 45, 50, 51, 52, 53, 56, 57, 58, 62, 73, 83, 90, 93 και 98, όσον αφορά ζητήματα που </w:t>
      </w:r>
      <w:r>
        <w:rPr>
          <w:noProof/>
        </w:rPr>
        <w:lastRenderedPageBreak/>
        <w:t>σχετίζονται με τις παρεμβάσεις υπό μορφή άμεσων ενισχύσεων, τις παρεμβάσεις αγροτικής ανάπτυξης και</w:t>
      </w:r>
      <w:r>
        <w:rPr>
          <w:i/>
          <w:noProof/>
        </w:rPr>
        <w:t xml:space="preserve"> </w:t>
      </w:r>
      <w:r>
        <w:rPr>
          <w:noProof/>
        </w:rPr>
        <w:t>την κοινή οργάνωση των αγορών, η Επιτροπή επικουρείται από την επιτροπή γεωργικών ταμείων, την επιτροπή κοινής γεωργικής πολιτικής που συστήνεται με τον κανονισμό (ΕΕ) …/… [κανονισμός για το στρατηγικό σχέδιο της ΚΓΠ] και την επιτροπή για την κοινή οργάνωση των γεωργικών αγορών που έχει συσταθεί με τον κανονισμό (ΕΕ) αριθ. 1308/2013, αντιστοίχως.</w:t>
      </w:r>
      <w:bookmarkEnd w:id="397"/>
      <w:bookmarkEnd w:id="398"/>
    </w:p>
    <w:p w:rsidR="00A57BFD" w:rsidRDefault="005B0D19">
      <w:pPr>
        <w:pStyle w:val="ManualNumPar1"/>
        <w:rPr>
          <w:noProof/>
        </w:rPr>
      </w:pPr>
      <w:bookmarkStart w:id="399" w:name="ai8n116p2"/>
      <w:bookmarkStart w:id="400" w:name="ai8n116p2q1"/>
      <w:r>
        <w:t>2.</w:t>
      </w:r>
      <w:r>
        <w:tab/>
      </w:r>
      <w:r>
        <w:rPr>
          <w:noProof/>
        </w:rPr>
        <w:t>Όταν γίνεται παραπομπή στην παρούσα παράγραφο, εφαρμόζεται το άρθρο 4 του κανονισμού (ΕΕ) αριθ. 182/2011.</w:t>
      </w:r>
      <w:bookmarkEnd w:id="399"/>
      <w:bookmarkEnd w:id="400"/>
    </w:p>
    <w:p w:rsidR="00A57BFD" w:rsidRDefault="005B0D19">
      <w:pPr>
        <w:pStyle w:val="ManualNumPar1"/>
        <w:rPr>
          <w:noProof/>
        </w:rPr>
      </w:pPr>
      <w:bookmarkStart w:id="401" w:name="ai8n116p3q1"/>
      <w:bookmarkStart w:id="402" w:name="ai8n116p3"/>
      <w:r>
        <w:t>3.</w:t>
      </w:r>
      <w:r>
        <w:tab/>
      </w:r>
      <w:r>
        <w:rPr>
          <w:noProof/>
        </w:rPr>
        <w:t>Όταν γίνεται παραπομπή στην παρούσα παράγραφο, εφαρμόζεται το άρθρο 5 του κανονισμού (ΕΕ) αριθ. 182/2011.</w:t>
      </w:r>
      <w:bookmarkEnd w:id="401"/>
    </w:p>
    <w:bookmarkEnd w:id="395"/>
    <w:bookmarkEnd w:id="402"/>
    <w:p w:rsidR="00A57BFD" w:rsidRDefault="005B0D19">
      <w:pPr>
        <w:pStyle w:val="PartTitle"/>
        <w:rPr>
          <w:noProof/>
        </w:rPr>
      </w:pPr>
      <w:r>
        <w:rPr>
          <w:noProof/>
        </w:rPr>
        <w:lastRenderedPageBreak/>
        <w:t>Τίτλος VII</w:t>
      </w:r>
      <w:r>
        <w:rPr>
          <w:noProof/>
        </w:rPr>
        <w:br/>
        <w:t>Τελικές διατάξεις</w:t>
      </w:r>
    </w:p>
    <w:p w:rsidR="00A57BFD" w:rsidRDefault="005B0D19">
      <w:pPr>
        <w:pStyle w:val="Titrearticle1"/>
        <w:rPr>
          <w:b/>
          <w:noProof/>
        </w:rPr>
      </w:pPr>
      <w:r>
        <w:rPr>
          <w:noProof/>
        </w:rPr>
        <w:t>Άρθρο 102</w:t>
      </w:r>
      <w:r>
        <w:rPr>
          <w:noProof/>
        </w:rPr>
        <w:br/>
      </w:r>
      <w:r>
        <w:rPr>
          <w:b/>
          <w:noProof/>
        </w:rPr>
        <w:t>Κατάργηση</w:t>
      </w:r>
    </w:p>
    <w:p w:rsidR="00A57BFD" w:rsidRDefault="005B0D19">
      <w:pPr>
        <w:pStyle w:val="ManualNumPar1"/>
        <w:rPr>
          <w:noProof/>
        </w:rPr>
      </w:pPr>
      <w:r>
        <w:t>1.</w:t>
      </w:r>
      <w:r>
        <w:tab/>
      </w:r>
      <w:r>
        <w:rPr>
          <w:noProof/>
        </w:rPr>
        <w:t>Ο κανονισμός (ΕΕ) αριθ. 1306/2013 καταργείται.</w:t>
      </w:r>
    </w:p>
    <w:p w:rsidR="00A57BFD" w:rsidRDefault="005B0D19">
      <w:pPr>
        <w:pStyle w:val="Text1"/>
        <w:rPr>
          <w:noProof/>
        </w:rPr>
      </w:pPr>
      <w:r>
        <w:rPr>
          <w:noProof/>
        </w:rPr>
        <w:t>Ωστόσο:</w:t>
      </w:r>
    </w:p>
    <w:p w:rsidR="00A57BFD" w:rsidRDefault="005B0D19">
      <w:pPr>
        <w:pStyle w:val="Point10"/>
        <w:rPr>
          <w:noProof/>
        </w:rPr>
      </w:pPr>
      <w:r>
        <w:rPr>
          <w:noProof/>
        </w:rPr>
        <w:t>α)</w:t>
      </w:r>
      <w:r>
        <w:rPr>
          <w:noProof/>
        </w:rPr>
        <w:tab/>
        <w:t>Το άρθρο 5, το άρθρο 7 παράγραφος 3, το άρθρο 9, το άρθρο 34, το άρθρο 35 παράγραφος 4, τα άρθρα 36, 37, 38, 43, 51, 52, 54, 110 και 111 του κανονισμού (ΕΕ) αριθ. 1306/2013 και οι σχετικοί εκτελεστικοί και κατ’ εξουσιοδότηση κανόνες εξακολουθούν να εφαρμόζονται σε σχέση με τις δαπάνες και πληρωμές που πραγματοποιήθηκαν για το γεωργικό οικονομικό έτος 2020 και προηγουμένως, όσον αφορά το ΕΓΤΕ, και, όσον αφορά το ΕΓΤΑΑ, σε σχέση με τις δαπάνες και πληρωμές που πραγματοποιήθηκαν για τα προγράμματα αγροτικής ανάπτυξης που εγκρίθηκαν από την Επιτροπή σύμφωνα με τον κανονισμό (ΕΕ) αριθ. 1305/2013,</w:t>
      </w:r>
    </w:p>
    <w:p w:rsidR="00A57BFD" w:rsidRDefault="005B0D19">
      <w:pPr>
        <w:pStyle w:val="Point10"/>
        <w:rPr>
          <w:noProof/>
        </w:rPr>
      </w:pPr>
      <w:r>
        <w:rPr>
          <w:noProof/>
        </w:rPr>
        <w:t>β)</w:t>
      </w:r>
      <w:r>
        <w:rPr>
          <w:noProof/>
        </w:rPr>
        <w:tab/>
        <w:t>Το άρθρο 69 του κανονισμού (ΕΕ) αριθ. 1306/2013 εξακολουθεί να εφαρμόζεται για τις δαπάνες και τις πληρωμές που πραγματοποιήθηκαν για πράξεις οι οποίες υλοποιήθηκαν δυνάμει του κανονισμού (ΕΕ) αριθ. 1307/2013 και για προγράμματα αγροτικής ανάπτυξης που εγκρίθηκαν από την Επιτροπή δυνάμει του κανονισμού (ΕΕ) αριθ. 1305/2013 και άλλα μέτρα της ΚΓΠ που προβλέπονται στον τίτλο II κεφάλαιο I του κανονισμού (ΕΕ) αριθ. 1306/2013, τα οποία τέθηκαν σε εφαρμογή πριν από την ημερομηνία έναρξης ισχύος του παρόντος κανονισμού, του κανονισμού (ΕΕ) …/… [κανονισμός για το στρατηγικό σχέδιο της ΚΓΠ] και του κανονισμού (ΕΕ) αριθ. 1308/2013, όπως τροποποιήθηκε με τον κανονισμό (ΕΕ) …/…του Ευρωπαϊκού Κοινοβουλίου και του Συμβουλίου</w:t>
      </w:r>
      <w:r>
        <w:rPr>
          <w:rStyle w:val="af7"/>
          <w:noProof/>
        </w:rPr>
        <w:footnoteReference w:id="38"/>
      </w:r>
      <w:r>
        <w:rPr>
          <w:noProof/>
        </w:rPr>
        <w:t xml:space="preserve">. </w:t>
      </w:r>
    </w:p>
    <w:p w:rsidR="00A57BFD" w:rsidRDefault="005B0D19">
      <w:pPr>
        <w:pStyle w:val="ManualNumPar1"/>
        <w:rPr>
          <w:noProof/>
        </w:rPr>
      </w:pPr>
      <w:r>
        <w:t>2.</w:t>
      </w:r>
      <w:r>
        <w:tab/>
      </w:r>
      <w:r>
        <w:rPr>
          <w:noProof/>
        </w:rPr>
        <w:t>Οι αναφορές στον καταργούμενο κανονισμό νοούνται ως αναφορές στον παρόντα κανονισμό και διαβάζονται σύμφωνα με τον πίνακα αντιστοιχίας που περιλαμβάνεται στο παράρτημα.</w:t>
      </w:r>
    </w:p>
    <w:p w:rsidR="00A57BFD" w:rsidRDefault="005B0D19">
      <w:pPr>
        <w:pStyle w:val="Titrearticle1"/>
        <w:rPr>
          <w:b/>
          <w:noProof/>
        </w:rPr>
      </w:pPr>
      <w:r>
        <w:rPr>
          <w:noProof/>
        </w:rPr>
        <w:t>Άρθρο 103</w:t>
      </w:r>
      <w:r>
        <w:rPr>
          <w:noProof/>
        </w:rPr>
        <w:br/>
      </w:r>
      <w:r>
        <w:rPr>
          <w:b/>
          <w:noProof/>
        </w:rPr>
        <w:t>Μεταβατικά μέτρα</w:t>
      </w:r>
    </w:p>
    <w:p w:rsidR="00A57BFD" w:rsidRDefault="005B0D19">
      <w:pPr>
        <w:rPr>
          <w:noProof/>
        </w:rPr>
      </w:pPr>
      <w:bookmarkStart w:id="403" w:name="ai8n120q1"/>
      <w:bookmarkStart w:id="404" w:name="v2g10i10w"/>
      <w:r>
        <w:rPr>
          <w:noProof/>
        </w:rPr>
        <w:t>Η Επιτροπή εξουσιοδοτείται να εκδίδει κατ’ εξουσιοδότηση πράξεις σύμφωνα με το άρθρο 101 με σκοπό τη συμπλήρωση του παρόντος κανονισμού με παρεκκλίσεις από τις διατάξεις του παρόντος κανονισμού και προσθήκες σε αυτές, εφόσον απαιτείται</w:t>
      </w:r>
      <w:bookmarkEnd w:id="403"/>
      <w:bookmarkEnd w:id="404"/>
      <w:r>
        <w:rPr>
          <w:noProof/>
        </w:rPr>
        <w:t>.</w:t>
      </w:r>
      <w:r>
        <w:rPr>
          <w:i/>
          <w:noProof/>
        </w:rPr>
        <w:t xml:space="preserve"> </w:t>
      </w:r>
    </w:p>
    <w:p w:rsidR="00A57BFD" w:rsidRDefault="005B0D19">
      <w:pPr>
        <w:pStyle w:val="Titrearticle1"/>
        <w:rPr>
          <w:noProof/>
        </w:rPr>
      </w:pPr>
      <w:r>
        <w:rPr>
          <w:noProof/>
        </w:rPr>
        <w:t>Άρθρο 104</w:t>
      </w:r>
      <w:r>
        <w:rPr>
          <w:noProof/>
        </w:rPr>
        <w:br/>
      </w:r>
      <w:r>
        <w:rPr>
          <w:b/>
          <w:noProof/>
        </w:rPr>
        <w:t xml:space="preserve">Έναρξη ισχύος και εφαρμογή </w:t>
      </w:r>
    </w:p>
    <w:p w:rsidR="00A57BFD" w:rsidRDefault="005B0D19">
      <w:pPr>
        <w:pStyle w:val="ManualNumPar1"/>
        <w:rPr>
          <w:noProof/>
        </w:rPr>
      </w:pPr>
      <w:r>
        <w:t>1.</w:t>
      </w:r>
      <w:r>
        <w:tab/>
      </w:r>
      <w:r>
        <w:rPr>
          <w:noProof/>
        </w:rPr>
        <w:t xml:space="preserve">Ο παρών κανονισμός αρχίζει να ισχύει την επομένη της δημοσίευσής του στην </w:t>
      </w:r>
      <w:r>
        <w:rPr>
          <w:i/>
          <w:noProof/>
        </w:rPr>
        <w:t>Επίσημη Εφημερίδα της Ευρωπαϊκής Ένωσης</w:t>
      </w:r>
      <w:r>
        <w:rPr>
          <w:noProof/>
        </w:rPr>
        <w:t>.</w:t>
      </w:r>
    </w:p>
    <w:p w:rsidR="00A57BFD" w:rsidRDefault="005B0D19">
      <w:pPr>
        <w:pStyle w:val="Text1"/>
        <w:rPr>
          <w:noProof/>
        </w:rPr>
      </w:pPr>
      <w:r>
        <w:rPr>
          <w:noProof/>
        </w:rPr>
        <w:lastRenderedPageBreak/>
        <w:t>Εφαρμόζεται από την 1η Ιανουαρίου 2021.</w:t>
      </w:r>
    </w:p>
    <w:p w:rsidR="00A57BFD" w:rsidRDefault="005B0D19">
      <w:pPr>
        <w:pStyle w:val="ManualNumPar1"/>
        <w:rPr>
          <w:noProof/>
        </w:rPr>
      </w:pPr>
      <w:r>
        <w:t>2.</w:t>
      </w:r>
      <w:r>
        <w:tab/>
      </w:r>
      <w:r>
        <w:rPr>
          <w:noProof/>
        </w:rPr>
        <w:t>Ωστόσο, τα άρθρα 7, 10, 18, 19, 35, 36, 37, 38, 39, 40, 43, 51, 52, 53 και 54 εφαρμόζονται στις δαπάνες που πραγματοποιούνται από τις 16 Οκτωβρίου 2020 όσον αφορά το ΕΓΤΕ, και, όσον αφορά το ΕΓΤΑΑ, στις δαπάνες που πραγματοποιούνται βάσει του κανονισμού (ΕΕ) αριθ..../... [κανονισμός για το στρατηγικό σχέδιο της ΚΓΠ].</w:t>
      </w:r>
    </w:p>
    <w:p w:rsidR="00A57BFD" w:rsidRDefault="005B0D19">
      <w:pPr>
        <w:rPr>
          <w:noProof/>
        </w:rPr>
      </w:pPr>
      <w:r>
        <w:rPr>
          <w:noProof/>
        </w:rPr>
        <w:t>Ο παρών κανονισμός είναι δεσμευτικός ως προς όλα τα μέρη του και ισχύει άμεσα σε κάθε κράτος μέλος.</w:t>
      </w:r>
    </w:p>
    <w:p w:rsidR="00A57BFD" w:rsidRDefault="005B0D19" w:rsidP="005B0D19">
      <w:pPr>
        <w:pStyle w:val="Fait"/>
        <w:rPr>
          <w:noProof/>
        </w:rPr>
      </w:pPr>
      <w:r w:rsidRPr="005B0D19">
        <w:t>Βρυξέλλες,</w:t>
      </w:r>
    </w:p>
    <w:p w:rsidR="00A57BFD" w:rsidRDefault="005B0D19">
      <w:pPr>
        <w:pStyle w:val="Institutionquisigne"/>
        <w:rPr>
          <w:noProof/>
        </w:rPr>
      </w:pPr>
      <w:r>
        <w:rPr>
          <w:noProof/>
        </w:rPr>
        <w:t>Για το Ευρωπαϊκό Κοινοβούλιο</w:t>
      </w:r>
      <w:r>
        <w:rPr>
          <w:noProof/>
        </w:rPr>
        <w:tab/>
        <w:t>Για το Συμβούλιο</w:t>
      </w:r>
    </w:p>
    <w:p w:rsidR="00A57BFD" w:rsidRDefault="005B0D19">
      <w:pPr>
        <w:pStyle w:val="Personnequisigne"/>
        <w:rPr>
          <w:noProof/>
        </w:rPr>
      </w:pPr>
      <w:r>
        <w:rPr>
          <w:noProof/>
        </w:rPr>
        <w:t>Ο/Η Πρόεδρος</w:t>
      </w:r>
      <w:r>
        <w:rPr>
          <w:noProof/>
        </w:rPr>
        <w:tab/>
        <w:t>Ο/Η Πρόεδρος</w:t>
      </w:r>
    </w:p>
    <w:p w:rsidR="00A57BFD" w:rsidRDefault="00A57BFD">
      <w:pPr>
        <w:rPr>
          <w:noProof/>
        </w:rPr>
        <w:sectPr w:rsidR="00A57BFD" w:rsidSect="005B0D19">
          <w:pgSz w:w="11907" w:h="16839"/>
          <w:pgMar w:top="1134" w:right="1417" w:bottom="1134" w:left="1417" w:header="709" w:footer="709" w:gutter="0"/>
          <w:cols w:space="720"/>
          <w:docGrid w:linePitch="360"/>
        </w:sectPr>
      </w:pPr>
    </w:p>
    <w:p w:rsidR="00A57BFD" w:rsidRDefault="005B0D19">
      <w:pPr>
        <w:pStyle w:val="Fichefinanciretitre"/>
        <w:rPr>
          <w:noProof/>
        </w:rPr>
      </w:pPr>
      <w:r>
        <w:rPr>
          <w:noProof/>
        </w:rPr>
        <w:lastRenderedPageBreak/>
        <w:t>ΝΟΜΟΘΕΤΙΚΟ ΔΗΜΟΣΙΟΝΟΜΙΚΟ ΔΕΛΤΙΟ</w:t>
      </w:r>
    </w:p>
    <w:p w:rsidR="00A57BFD" w:rsidRDefault="005B0D19">
      <w:pPr>
        <w:pStyle w:val="ManualHeading1"/>
        <w:rPr>
          <w:noProof/>
        </w:rPr>
      </w:pPr>
      <w:r>
        <w:rPr>
          <w:noProof/>
        </w:rPr>
        <w:t>1.</w:t>
      </w:r>
      <w:r>
        <w:rPr>
          <w:noProof/>
        </w:rPr>
        <w:tab/>
        <w:t xml:space="preserve">ΠΛΑΙΣΙΟ ΤΗΣ ΠΡΟΤΑΣΗΣ/ΠΡΩΤΟΒΟΥΛΙΑΣ </w:t>
      </w:r>
    </w:p>
    <w:p w:rsidR="00A57BFD" w:rsidRDefault="005B0D19">
      <w:pPr>
        <w:pStyle w:val="ManualHeading2"/>
        <w:rPr>
          <w:b w:val="0"/>
          <w:noProof/>
        </w:rPr>
      </w:pPr>
      <w:r>
        <w:rPr>
          <w:noProof/>
        </w:rPr>
        <w:tab/>
      </w:r>
      <w:r>
        <w:rPr>
          <w:b w:val="0"/>
          <w:noProof/>
        </w:rPr>
        <w:t>1.1.</w:t>
      </w:r>
      <w:r>
        <w:rPr>
          <w:noProof/>
        </w:rPr>
        <w:tab/>
      </w:r>
      <w:r>
        <w:rPr>
          <w:b w:val="0"/>
          <w:noProof/>
        </w:rPr>
        <w:t xml:space="preserve">Τίτλος της πρότασης/πρωτοβουλίας </w:t>
      </w:r>
    </w:p>
    <w:p w:rsidR="00A57BFD" w:rsidRDefault="005B0D19">
      <w:pPr>
        <w:pStyle w:val="ManualHeading2"/>
        <w:rPr>
          <w:b w:val="0"/>
          <w:noProof/>
        </w:rPr>
      </w:pPr>
      <w:r>
        <w:rPr>
          <w:noProof/>
        </w:rPr>
        <w:tab/>
      </w:r>
      <w:r>
        <w:rPr>
          <w:b w:val="0"/>
          <w:noProof/>
        </w:rPr>
        <w:t>1.2.</w:t>
      </w:r>
      <w:r>
        <w:rPr>
          <w:noProof/>
        </w:rPr>
        <w:tab/>
      </w:r>
      <w:r>
        <w:rPr>
          <w:b w:val="0"/>
          <w:noProof/>
        </w:rPr>
        <w:t>Σχετικοί τομείς πολιτικής στη δομή ΔΒΔ/ΠΒΔ</w:t>
      </w:r>
    </w:p>
    <w:p w:rsidR="00A57BFD" w:rsidRDefault="005B0D19">
      <w:pPr>
        <w:pStyle w:val="ManualHeading2"/>
        <w:rPr>
          <w:b w:val="0"/>
          <w:noProof/>
        </w:rPr>
      </w:pPr>
      <w:r>
        <w:rPr>
          <w:noProof/>
        </w:rPr>
        <w:tab/>
      </w:r>
      <w:r>
        <w:rPr>
          <w:b w:val="0"/>
          <w:noProof/>
        </w:rPr>
        <w:t>1.3.</w:t>
      </w:r>
      <w:r>
        <w:rPr>
          <w:noProof/>
        </w:rPr>
        <w:tab/>
      </w:r>
      <w:r>
        <w:rPr>
          <w:b w:val="0"/>
          <w:noProof/>
        </w:rPr>
        <w:t xml:space="preserve">Χαρακτήρας της πρότασης/πρωτοβουλίας </w:t>
      </w:r>
    </w:p>
    <w:p w:rsidR="00A57BFD" w:rsidRDefault="005B0D19">
      <w:pPr>
        <w:pStyle w:val="ManualHeading2"/>
        <w:rPr>
          <w:b w:val="0"/>
          <w:noProof/>
        </w:rPr>
      </w:pPr>
      <w:r>
        <w:rPr>
          <w:noProof/>
        </w:rPr>
        <w:tab/>
      </w:r>
      <w:r>
        <w:rPr>
          <w:b w:val="0"/>
          <w:noProof/>
        </w:rPr>
        <w:t>1.4.</w:t>
      </w:r>
      <w:r>
        <w:rPr>
          <w:noProof/>
        </w:rPr>
        <w:tab/>
      </w:r>
      <w:r>
        <w:rPr>
          <w:b w:val="0"/>
          <w:noProof/>
        </w:rPr>
        <w:t xml:space="preserve">Αιτιολόγηση της πρότασης/πρωτοβουλίας </w:t>
      </w:r>
    </w:p>
    <w:p w:rsidR="00A57BFD" w:rsidRDefault="005B0D19">
      <w:pPr>
        <w:pStyle w:val="ManualHeading2"/>
        <w:rPr>
          <w:b w:val="0"/>
          <w:noProof/>
        </w:rPr>
      </w:pPr>
      <w:r>
        <w:rPr>
          <w:noProof/>
        </w:rPr>
        <w:tab/>
      </w:r>
      <w:r>
        <w:rPr>
          <w:b w:val="0"/>
          <w:noProof/>
        </w:rPr>
        <w:t>1.5.</w:t>
      </w:r>
      <w:r>
        <w:rPr>
          <w:noProof/>
        </w:rPr>
        <w:tab/>
      </w:r>
      <w:r>
        <w:rPr>
          <w:b w:val="0"/>
          <w:noProof/>
        </w:rPr>
        <w:t xml:space="preserve">Διάρκεια και δημοσιονομικές επιπτώσεις </w:t>
      </w:r>
    </w:p>
    <w:p w:rsidR="00A57BFD" w:rsidRDefault="005B0D19">
      <w:pPr>
        <w:pStyle w:val="ManualHeading2"/>
        <w:rPr>
          <w:b w:val="0"/>
          <w:noProof/>
        </w:rPr>
      </w:pPr>
      <w:r>
        <w:rPr>
          <w:noProof/>
        </w:rPr>
        <w:tab/>
      </w:r>
      <w:r>
        <w:rPr>
          <w:b w:val="0"/>
          <w:noProof/>
        </w:rPr>
        <w:t>1.6.</w:t>
      </w:r>
      <w:r>
        <w:rPr>
          <w:noProof/>
        </w:rPr>
        <w:tab/>
      </w:r>
      <w:r>
        <w:rPr>
          <w:b w:val="0"/>
          <w:noProof/>
        </w:rPr>
        <w:t xml:space="preserve">Προβλεπόμενοι τρόποι διαχείρισης </w:t>
      </w:r>
    </w:p>
    <w:p w:rsidR="00A57BFD" w:rsidRDefault="005B0D19">
      <w:pPr>
        <w:pStyle w:val="ManualHeading1"/>
        <w:rPr>
          <w:noProof/>
        </w:rPr>
      </w:pPr>
      <w:r>
        <w:rPr>
          <w:noProof/>
        </w:rPr>
        <w:t>2.</w:t>
      </w:r>
      <w:r>
        <w:rPr>
          <w:noProof/>
        </w:rPr>
        <w:tab/>
        <w:t xml:space="preserve">ΜΕΤΡΑ ΔΙΑΧΕΙΡΙΣΗΣ </w:t>
      </w:r>
    </w:p>
    <w:p w:rsidR="00A57BFD" w:rsidRDefault="005B0D19">
      <w:pPr>
        <w:pStyle w:val="ManualHeading2"/>
        <w:rPr>
          <w:b w:val="0"/>
          <w:noProof/>
        </w:rPr>
      </w:pPr>
      <w:r>
        <w:rPr>
          <w:noProof/>
        </w:rPr>
        <w:tab/>
      </w:r>
      <w:r>
        <w:rPr>
          <w:b w:val="0"/>
          <w:noProof/>
        </w:rPr>
        <w:t>2.1.</w:t>
      </w:r>
      <w:r>
        <w:rPr>
          <w:noProof/>
        </w:rPr>
        <w:tab/>
      </w:r>
      <w:r>
        <w:rPr>
          <w:b w:val="0"/>
          <w:noProof/>
        </w:rPr>
        <w:t xml:space="preserve">Κανόνες παρακολούθησης και υποβολής εκθέσεων </w:t>
      </w:r>
    </w:p>
    <w:p w:rsidR="00A57BFD" w:rsidRDefault="005B0D19">
      <w:pPr>
        <w:pStyle w:val="ManualHeading2"/>
        <w:rPr>
          <w:b w:val="0"/>
          <w:noProof/>
        </w:rPr>
      </w:pPr>
      <w:r>
        <w:rPr>
          <w:noProof/>
        </w:rPr>
        <w:tab/>
      </w:r>
      <w:r>
        <w:rPr>
          <w:b w:val="0"/>
          <w:noProof/>
        </w:rPr>
        <w:t>2.2.</w:t>
      </w:r>
      <w:r>
        <w:rPr>
          <w:noProof/>
        </w:rPr>
        <w:tab/>
      </w:r>
      <w:r>
        <w:rPr>
          <w:b w:val="0"/>
          <w:noProof/>
        </w:rPr>
        <w:t xml:space="preserve">Σύστημα διαχείρισης και ελέγχου </w:t>
      </w:r>
    </w:p>
    <w:p w:rsidR="00A57BFD" w:rsidRDefault="005B0D19">
      <w:pPr>
        <w:pStyle w:val="ManualHeading2"/>
        <w:rPr>
          <w:b w:val="0"/>
          <w:noProof/>
        </w:rPr>
      </w:pPr>
      <w:r>
        <w:rPr>
          <w:noProof/>
        </w:rPr>
        <w:tab/>
      </w:r>
      <w:r>
        <w:rPr>
          <w:b w:val="0"/>
          <w:noProof/>
        </w:rPr>
        <w:t>2.3.</w:t>
      </w:r>
      <w:r>
        <w:rPr>
          <w:noProof/>
        </w:rPr>
        <w:tab/>
      </w:r>
      <w:r>
        <w:rPr>
          <w:b w:val="0"/>
          <w:noProof/>
        </w:rPr>
        <w:t xml:space="preserve">Μέτρα για την πρόληψη περιπτώσεων απάτης και παρατυπίας </w:t>
      </w:r>
    </w:p>
    <w:p w:rsidR="00A57BFD" w:rsidRDefault="005B0D19">
      <w:pPr>
        <w:pStyle w:val="ManualHeading1"/>
        <w:rPr>
          <w:noProof/>
        </w:rPr>
      </w:pPr>
      <w:r>
        <w:rPr>
          <w:noProof/>
        </w:rPr>
        <w:t>3.</w:t>
      </w:r>
      <w:r>
        <w:rPr>
          <w:noProof/>
        </w:rPr>
        <w:tab/>
        <w:t xml:space="preserve">ΕΚΤΙΜΩΜΕΝΕΣ ΔΗΜΟΣΙΟΝΟΜΙΚΕΣ ΕΠΙΠΤΩΣΕΙΣ ΤΗΣ ΠΡΟΤΑΣΗΣ/ΠΡΩΤΟΒΟΥΛΙΑΣ </w:t>
      </w:r>
    </w:p>
    <w:p w:rsidR="00A57BFD" w:rsidRDefault="005B0D19">
      <w:pPr>
        <w:pStyle w:val="ManualHeading2"/>
        <w:tabs>
          <w:tab w:val="clear" w:pos="850"/>
          <w:tab w:val="left" w:pos="1440"/>
        </w:tabs>
        <w:rPr>
          <w:b w:val="0"/>
          <w:noProof/>
        </w:rPr>
      </w:pPr>
      <w:r>
        <w:rPr>
          <w:noProof/>
        </w:rPr>
        <w:tab/>
      </w:r>
      <w:r>
        <w:rPr>
          <w:b w:val="0"/>
          <w:noProof/>
        </w:rPr>
        <w:t>3.1.</w:t>
      </w:r>
      <w:r>
        <w:rPr>
          <w:noProof/>
        </w:rPr>
        <w:tab/>
      </w:r>
      <w:r>
        <w:rPr>
          <w:b w:val="0"/>
          <w:noProof/>
        </w:rPr>
        <w:t xml:space="preserve">Τομείς του πολυετούς δημοσιονομικού πλαισίου και γραμμές δαπανών του προϋπολογισμού που επηρεάζονται </w:t>
      </w:r>
    </w:p>
    <w:p w:rsidR="00A57BFD" w:rsidRDefault="005B0D19">
      <w:pPr>
        <w:pStyle w:val="ManualHeading2"/>
        <w:rPr>
          <w:b w:val="0"/>
          <w:noProof/>
        </w:rPr>
      </w:pPr>
      <w:r>
        <w:rPr>
          <w:noProof/>
        </w:rPr>
        <w:tab/>
      </w:r>
      <w:r>
        <w:rPr>
          <w:b w:val="0"/>
          <w:noProof/>
        </w:rPr>
        <w:t>3.2.</w:t>
      </w:r>
      <w:r>
        <w:rPr>
          <w:noProof/>
        </w:rPr>
        <w:tab/>
      </w:r>
      <w:r>
        <w:rPr>
          <w:b w:val="0"/>
          <w:noProof/>
        </w:rPr>
        <w:t xml:space="preserve">Εκτιμώμενες επιπτώσεις στις δαπάνες </w:t>
      </w:r>
    </w:p>
    <w:p w:rsidR="00A57BFD" w:rsidRDefault="005B0D19">
      <w:pPr>
        <w:pStyle w:val="ManualHeading3"/>
        <w:rPr>
          <w:noProof/>
        </w:rPr>
      </w:pPr>
      <w:r>
        <w:rPr>
          <w:noProof/>
        </w:rPr>
        <w:tab/>
        <w:t>3.2.1.</w:t>
      </w:r>
      <w:r>
        <w:rPr>
          <w:noProof/>
        </w:rPr>
        <w:tab/>
        <w:t xml:space="preserve">Συνοπτική παρουσίαση των εκτιμώμενων επιπτώσεων στις δαπάνες </w:t>
      </w:r>
    </w:p>
    <w:p w:rsidR="00A57BFD" w:rsidRDefault="005B0D19">
      <w:pPr>
        <w:pStyle w:val="ManualHeading3"/>
        <w:rPr>
          <w:noProof/>
        </w:rPr>
      </w:pPr>
      <w:r>
        <w:rPr>
          <w:noProof/>
        </w:rPr>
        <w:tab/>
        <w:t>3.2.2.</w:t>
      </w:r>
      <w:r>
        <w:rPr>
          <w:noProof/>
        </w:rPr>
        <w:tab/>
        <w:t>Εκτιμώμενες επιπτώσεις στις πιστώσεις διοικητικού χαρακτήρα</w:t>
      </w:r>
    </w:p>
    <w:p w:rsidR="00A57BFD" w:rsidRDefault="005B0D19">
      <w:pPr>
        <w:pStyle w:val="ManualHeading3"/>
        <w:rPr>
          <w:noProof/>
        </w:rPr>
      </w:pPr>
      <w:r>
        <w:rPr>
          <w:noProof/>
        </w:rPr>
        <w:tab/>
        <w:t>3.2.3.</w:t>
      </w:r>
      <w:r>
        <w:rPr>
          <w:noProof/>
        </w:rPr>
        <w:tab/>
        <w:t xml:space="preserve">Συμμετοχή τρίτων στη χρηματοδότηση </w:t>
      </w:r>
    </w:p>
    <w:p w:rsidR="00A57BFD" w:rsidRDefault="005B0D19">
      <w:pPr>
        <w:pStyle w:val="ManualHeading2"/>
        <w:jc w:val="left"/>
        <w:rPr>
          <w:b w:val="0"/>
          <w:noProof/>
        </w:rPr>
        <w:sectPr w:rsidR="00A57BFD" w:rsidSect="005B0D19">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Εκτιμώμενες επιπτώσεις στα έσοδα</w:t>
      </w:r>
    </w:p>
    <w:p w:rsidR="00A57BFD" w:rsidRDefault="005B0D19">
      <w:pPr>
        <w:pStyle w:val="ManualHeading1"/>
        <w:rPr>
          <w:noProof/>
        </w:rPr>
      </w:pPr>
      <w:r>
        <w:lastRenderedPageBreak/>
        <w:t>1.</w:t>
      </w:r>
      <w:r>
        <w:tab/>
      </w:r>
      <w:r>
        <w:rPr>
          <w:noProof/>
        </w:rPr>
        <w:t xml:space="preserve">ΠΛΑΙΣΙΟ ΤΗΣ ΠΡΟΤΑΣΗΣ </w:t>
      </w:r>
    </w:p>
    <w:p w:rsidR="00A57BFD" w:rsidRDefault="005B0D19">
      <w:pPr>
        <w:pStyle w:val="ManualHeading2"/>
        <w:rPr>
          <w:noProof/>
        </w:rPr>
      </w:pPr>
      <w:r>
        <w:t>1.1.</w:t>
      </w:r>
      <w:r>
        <w:tab/>
      </w:r>
      <w:r>
        <w:rPr>
          <w:noProof/>
        </w:rPr>
        <w:t xml:space="preserve">Τίτλος της πρότασης </w:t>
      </w:r>
    </w:p>
    <w:p w:rsidR="00A57BFD" w:rsidRDefault="005B0D19">
      <w:pPr>
        <w:pStyle w:val="Text1"/>
        <w:pBdr>
          <w:top w:val="single" w:sz="4" w:space="1" w:color="auto"/>
          <w:left w:val="single" w:sz="4" w:space="4" w:color="auto"/>
          <w:bottom w:val="single" w:sz="4" w:space="1" w:color="auto"/>
          <w:right w:val="single" w:sz="4" w:space="4" w:color="auto"/>
        </w:pBdr>
        <w:ind w:left="0"/>
        <w:rPr>
          <w:noProof/>
        </w:rPr>
      </w:pPr>
      <w:r>
        <w:rPr>
          <w:noProof/>
        </w:rPr>
        <w:t>α) Πρόταση κανονισμού του Ευρωπαϊκού Κοινοβουλίου και του Συμβουλίου σχετικά με τη χρηματοδότηση, τη διαχείριση και την παρακολούθηση της κοινής γεωργικής πολιτικής και την κατάργηση του κανονισμού (ΕΕ) αριθ. 1306/2013.</w:t>
      </w:r>
    </w:p>
    <w:p w:rsidR="00A57BFD" w:rsidRDefault="005B0D19">
      <w:pPr>
        <w:pStyle w:val="Text1"/>
        <w:pBdr>
          <w:top w:val="single" w:sz="4" w:space="1" w:color="auto"/>
          <w:left w:val="single" w:sz="4" w:space="4" w:color="auto"/>
          <w:bottom w:val="single" w:sz="4" w:space="1" w:color="auto"/>
          <w:right w:val="single" w:sz="4" w:space="4" w:color="auto"/>
        </w:pBdr>
        <w:ind w:left="0"/>
        <w:rPr>
          <w:noProof/>
        </w:rPr>
      </w:pPr>
      <w:r>
        <w:rPr>
          <w:noProof/>
        </w:rPr>
        <w:t>β) Πρόταση κανονισμού του Ευρωπαϊκού Κοινοβουλίου και του Συμβουλίου για τη θέσπιση κανόνων για την υποστήριξη της κατάρτισης στρατηγικών σχεδίων από τα κράτη μέλη στο πλαίσιο της κοινής γεωργικής πολιτικής (στρατηγικά σχέδια της ΚΓΠ) που θα χρηματοδοτούνται από το Ευρωπαϊκό Γεωργικό Ταμείο Εγγυήσεων (ΕΓΤΕ) και το Ευρωπαϊκό Γεωργικό Ταμείο Αγροτικής Ανάπτυξης (ΕΓΤΑΑ) και για την κατάργηση του κανονισμού (ΕΕ) αριθ. 1305/2013 του Ευρωπαϊκού Κοινοβουλίου και του Συμβουλίου και του κανονισμού (ΕΕ) αριθ. 1307/2013 του Ευρωπαϊκού Κοινοβουλίου και του Συμβουλίου.</w:t>
      </w:r>
    </w:p>
    <w:p w:rsidR="00A57BFD" w:rsidRDefault="005B0D19">
      <w:pPr>
        <w:pStyle w:val="Text1"/>
        <w:pBdr>
          <w:top w:val="single" w:sz="4" w:space="1" w:color="auto"/>
          <w:left w:val="single" w:sz="4" w:space="4" w:color="auto"/>
          <w:bottom w:val="single" w:sz="4" w:space="1" w:color="auto"/>
          <w:right w:val="single" w:sz="4" w:space="4" w:color="auto"/>
        </w:pBdr>
        <w:ind w:left="0"/>
        <w:rPr>
          <w:noProof/>
        </w:rPr>
      </w:pPr>
      <w:r>
        <w:rPr>
          <w:noProof/>
        </w:rPr>
        <w:t>γ) Πρόταση κανονισμού του Ευρωπαϊκού Κοινοβουλίου και του Συμβουλίου για την τροποποίηση των κανονισμών (ΕΕ) αριθ. 1308/2013 για τη θέσπιση κοινής οργάνωσης των αγορών γεωργικών προϊόντων, (ΕΕ) αριθ. 1151/2012 για τα συστήματα ποιότητας των γεωργικών προϊόντων και των τροφίμων, (ΕΕ) αριθ. 251/2014 για τον ορισμό, την περιγραφή, την παρουσίαση, την επισήμανση και την προστασία των γεωγραφικών ενδείξεων των αρωματισμένων αμπελοοινικών προϊόντων, (ΕΕ) αριθ. 228/2013 για τον καθορισμό ειδικών μέτρων για τη γεωργία στις εξόχως απόκεντρες περιοχές της Ένωσης και (ΕΕ) αριθ. 229/2013 για τη θέσπιση ειδικών μέτρων για τη γεωργία υπέρ των γεωργικών προϊόντων και των τροφίμων στα μικρά νησιά του Αιγαίου.</w:t>
      </w:r>
    </w:p>
    <w:p w:rsidR="00A57BFD" w:rsidRDefault="005B0D19">
      <w:pPr>
        <w:pStyle w:val="ManualHeading2"/>
        <w:rPr>
          <w:noProof/>
          <w:szCs w:val="24"/>
        </w:rPr>
      </w:pPr>
      <w:r>
        <w:t>1.2.</w:t>
      </w:r>
      <w:r>
        <w:tab/>
      </w:r>
      <w:r>
        <w:rPr>
          <w:noProof/>
        </w:rPr>
        <w:t xml:space="preserve">Σχετικοί τομείς πολιτικής </w:t>
      </w:r>
      <w:r>
        <w:rPr>
          <w:i/>
          <w:noProof/>
        </w:rPr>
        <w:t>(ομάδα προγραμμάτων)</w:t>
      </w:r>
    </w:p>
    <w:p w:rsidR="00A57BFD" w:rsidRDefault="005B0D19">
      <w:pPr>
        <w:pStyle w:val="Text1"/>
        <w:pBdr>
          <w:top w:val="single" w:sz="4" w:space="1" w:color="auto"/>
          <w:left w:val="single" w:sz="4" w:space="4" w:color="auto"/>
          <w:bottom w:val="single" w:sz="4" w:space="1" w:color="auto"/>
          <w:right w:val="single" w:sz="4" w:space="4" w:color="auto"/>
        </w:pBdr>
        <w:rPr>
          <w:noProof/>
        </w:rPr>
      </w:pPr>
      <w:r>
        <w:rPr>
          <w:noProof/>
        </w:rPr>
        <w:t>Ομάδα προγραμμάτων 8 – Γεωργία και θαλάσσια πολιτική στο πλαίσιο του τομέα 3 του πολυετούς δημοσιονομικού πλαισίου (ΠΔΠ) 2021-2027 – Φυσικοί πόροι και περιβάλλον</w:t>
      </w:r>
    </w:p>
    <w:p w:rsidR="00A57BFD" w:rsidRDefault="005B0D19">
      <w:pPr>
        <w:pStyle w:val="ManualHeading2"/>
        <w:rPr>
          <w:bCs/>
          <w:noProof/>
          <w:szCs w:val="24"/>
        </w:rPr>
      </w:pPr>
      <w:r>
        <w:t>1.3.</w:t>
      </w:r>
      <w:r>
        <w:tab/>
      </w:r>
      <w:r>
        <w:rPr>
          <w:noProof/>
        </w:rPr>
        <w:t xml:space="preserve">Η πρόταση/πρωτοβουλία αφορά: </w:t>
      </w:r>
    </w:p>
    <w:p w:rsidR="00A57BFD" w:rsidRDefault="005B0D19">
      <w:pPr>
        <w:pStyle w:val="Text1"/>
        <w:rPr>
          <w:noProof/>
          <w:sz w:val="22"/>
        </w:rPr>
      </w:pPr>
      <w:r>
        <w:rPr>
          <w:noProof/>
          <w:sz w:val="22"/>
        </w:rPr>
        <w:sym w:font="Wingdings" w:char="F0A8"/>
      </w:r>
      <w:r>
        <w:rPr>
          <w:i/>
          <w:noProof/>
          <w:sz w:val="22"/>
        </w:rPr>
        <w:t xml:space="preserve"> </w:t>
      </w:r>
      <w:r>
        <w:rPr>
          <w:b/>
          <w:noProof/>
        </w:rPr>
        <w:t>νέα δράση μετά από πιλοτικό έργο/προπαρασκευαστική δράση</w:t>
      </w:r>
      <w:r>
        <w:rPr>
          <w:rStyle w:val="af7"/>
          <w:b/>
          <w:noProof/>
        </w:rPr>
        <w:footnoteReference w:id="39"/>
      </w:r>
      <w:r>
        <w:rPr>
          <w:noProof/>
          <w:sz w:val="22"/>
        </w:rPr>
        <w:t xml:space="preserve"> </w:t>
      </w:r>
    </w:p>
    <w:p w:rsidR="00A57BFD" w:rsidRDefault="005B0D19">
      <w:pPr>
        <w:pStyle w:val="Text1"/>
        <w:rPr>
          <w:noProof/>
          <w:sz w:val="22"/>
        </w:rPr>
      </w:pPr>
      <w:r>
        <w:rPr>
          <w:noProof/>
          <w:sz w:val="22"/>
        </w:rPr>
        <w:sym w:font="Wingdings" w:char="F0FD"/>
      </w:r>
      <w:r>
        <w:rPr>
          <w:i/>
          <w:noProof/>
          <w:sz w:val="22"/>
        </w:rPr>
        <w:t xml:space="preserve"> </w:t>
      </w:r>
      <w:r>
        <w:rPr>
          <w:b/>
          <w:noProof/>
        </w:rPr>
        <w:t>την παράταση υφιστάμενης δράσης</w:t>
      </w:r>
      <w:r>
        <w:rPr>
          <w:noProof/>
          <w:sz w:val="22"/>
        </w:rPr>
        <w:t xml:space="preserve"> </w:t>
      </w:r>
    </w:p>
    <w:p w:rsidR="00A57BFD" w:rsidRDefault="005B0D19">
      <w:pPr>
        <w:pStyle w:val="Text1"/>
        <w:rPr>
          <w:noProof/>
        </w:rPr>
      </w:pPr>
      <w:r>
        <w:rPr>
          <w:noProof/>
          <w:sz w:val="22"/>
        </w:rPr>
        <w:sym w:font="Wingdings" w:char="F0A8"/>
      </w:r>
      <w:r>
        <w:rPr>
          <w:i/>
          <w:noProof/>
          <w:sz w:val="22"/>
        </w:rPr>
        <w:t xml:space="preserve"> </w:t>
      </w:r>
      <w:r>
        <w:rPr>
          <w:b/>
          <w:noProof/>
        </w:rPr>
        <w:t>συγχώνευση ή επαναπροσανατολισμό μίας ή περισσότερων δράσεων προς άλλη/νέα δράση</w:t>
      </w:r>
      <w:r>
        <w:rPr>
          <w:noProof/>
        </w:rPr>
        <w:t xml:space="preserve"> </w:t>
      </w:r>
    </w:p>
    <w:p w:rsidR="00A57BFD" w:rsidRDefault="005B0D19">
      <w:pPr>
        <w:pStyle w:val="ManualHeading2"/>
        <w:rPr>
          <w:bCs/>
          <w:noProof/>
          <w:szCs w:val="24"/>
        </w:rPr>
      </w:pPr>
      <w:r>
        <w:t>1.4.</w:t>
      </w:r>
      <w:r>
        <w:tab/>
      </w:r>
      <w:r>
        <w:rPr>
          <w:noProof/>
        </w:rPr>
        <w:t xml:space="preserve">Αιτιολόγηση της πρότασης/πρωτοβουλίας </w:t>
      </w:r>
    </w:p>
    <w:p w:rsidR="00A57BFD" w:rsidRDefault="005B0D19">
      <w:pPr>
        <w:pStyle w:val="ManualHeading3"/>
        <w:rPr>
          <w:noProof/>
        </w:rPr>
      </w:pPr>
      <w:r>
        <w:t>1.4.1.</w:t>
      </w:r>
      <w:r>
        <w:tab/>
      </w:r>
      <w:r>
        <w:rPr>
          <w:noProof/>
        </w:rPr>
        <w:t>Βραχυπρόθεσμη ή μακροπρόθεσμη κάλυψη αναγκών, συμπεριλαμβανομένου λεπτομερούς χρονοδιαγράμματος για τη σταδιακή υλοποίηση της πρωτοβουλίας</w:t>
      </w:r>
    </w:p>
    <w:p w:rsidR="00A57BFD" w:rsidRDefault="005B0D19">
      <w:pPr>
        <w:pStyle w:val="Text1"/>
        <w:pBdr>
          <w:top w:val="single" w:sz="4" w:space="1" w:color="auto"/>
          <w:left w:val="single" w:sz="4" w:space="4" w:color="auto"/>
          <w:right w:val="single" w:sz="4" w:space="4" w:color="auto"/>
        </w:pBdr>
        <w:spacing w:before="0" w:after="0"/>
        <w:ind w:left="851"/>
        <w:rPr>
          <w:noProof/>
        </w:rPr>
      </w:pPr>
      <w:r>
        <w:rPr>
          <w:noProof/>
        </w:rPr>
        <w:t>Οι στόχοι της Κοινής Γεωργικής Πολιτικής (ΚΓΠ), που καθορίζονται στο άρθρο 39 της Συνθήκης για τη λειτουργία της Ευρωπαϊκής Ένωσης, αποσκοπούν:</w:t>
      </w:r>
    </w:p>
    <w:p w:rsidR="00A57BFD" w:rsidRDefault="005B0D19">
      <w:pPr>
        <w:pStyle w:val="Text1"/>
        <w:pBdr>
          <w:top w:val="single" w:sz="4" w:space="1" w:color="auto"/>
          <w:left w:val="single" w:sz="4" w:space="4" w:color="auto"/>
          <w:right w:val="single" w:sz="4" w:space="4" w:color="auto"/>
        </w:pBdr>
        <w:spacing w:before="0" w:after="0"/>
        <w:ind w:left="851"/>
        <w:rPr>
          <w:noProof/>
        </w:rPr>
      </w:pPr>
      <w:r>
        <w:rPr>
          <w:noProof/>
        </w:rPr>
        <w:t>α) στην αύξηση της παραγωγικότητας της γεωργίας (μεταξύ άλλων μέσω της τεχνικής προόδου και της αρίστης χρησιμοποιήσεως των συντελεστών παραγωγής),</w:t>
      </w:r>
    </w:p>
    <w:p w:rsidR="00A57BFD" w:rsidRDefault="005B0D19">
      <w:pPr>
        <w:pStyle w:val="Text1"/>
        <w:pBdr>
          <w:top w:val="single" w:sz="4" w:space="1" w:color="auto"/>
          <w:left w:val="single" w:sz="4" w:space="4" w:color="auto"/>
          <w:right w:val="single" w:sz="4" w:space="4" w:color="auto"/>
        </w:pBdr>
        <w:spacing w:before="0" w:after="0"/>
        <w:ind w:left="851"/>
        <w:rPr>
          <w:noProof/>
        </w:rPr>
      </w:pPr>
      <w:r>
        <w:rPr>
          <w:noProof/>
        </w:rPr>
        <w:t>β) στην εξασφάλιση κατ’ αυτό τον τρόπο ενός δίκαιου βιοτικού επιπέδου στο γεωργικό πληθυσμό (ιδίως με την αύξηση των εισοδημάτων),</w:t>
      </w:r>
    </w:p>
    <w:p w:rsidR="00A57BFD" w:rsidRDefault="005B0D19">
      <w:pPr>
        <w:pStyle w:val="Text1"/>
        <w:pBdr>
          <w:top w:val="single" w:sz="4" w:space="1" w:color="auto"/>
          <w:left w:val="single" w:sz="4" w:space="4" w:color="auto"/>
          <w:right w:val="single" w:sz="4" w:space="4" w:color="auto"/>
        </w:pBdr>
        <w:spacing w:before="0" w:after="0"/>
        <w:ind w:left="851"/>
        <w:rPr>
          <w:noProof/>
        </w:rPr>
      </w:pPr>
      <w:r>
        <w:rPr>
          <w:noProof/>
        </w:rPr>
        <w:t>γ) η σταθεροποίηση των αγορών,</w:t>
      </w:r>
    </w:p>
    <w:p w:rsidR="00A57BFD" w:rsidRDefault="005B0D19">
      <w:pPr>
        <w:pStyle w:val="Text1"/>
        <w:pBdr>
          <w:top w:val="single" w:sz="4" w:space="1" w:color="auto"/>
          <w:left w:val="single" w:sz="4" w:space="4" w:color="auto"/>
          <w:right w:val="single" w:sz="4" w:space="4" w:color="auto"/>
        </w:pBdr>
        <w:spacing w:before="0" w:after="0"/>
        <w:ind w:left="851"/>
        <w:rPr>
          <w:noProof/>
        </w:rPr>
      </w:pPr>
      <w:r>
        <w:rPr>
          <w:noProof/>
        </w:rPr>
        <w:t>δ) η εξασφάλιση του εφοδιασμού, και</w:t>
      </w:r>
    </w:p>
    <w:p w:rsidR="00A57BFD" w:rsidRDefault="005B0D19">
      <w:pPr>
        <w:pStyle w:val="Text1"/>
        <w:pBdr>
          <w:top w:val="single" w:sz="4" w:space="1" w:color="auto"/>
          <w:left w:val="single" w:sz="4" w:space="4" w:color="auto"/>
          <w:right w:val="single" w:sz="4" w:space="4" w:color="auto"/>
        </w:pBdr>
        <w:spacing w:before="0" w:after="0"/>
        <w:ind w:left="851"/>
        <w:rPr>
          <w:noProof/>
        </w:rPr>
      </w:pPr>
      <w:r>
        <w:rPr>
          <w:noProof/>
        </w:rPr>
        <w:lastRenderedPageBreak/>
        <w:t>ε) η διασφάλιση λογικών τιμών κατά την προσφορά αγαθών στους καταναλωτές.</w:t>
      </w:r>
    </w:p>
    <w:p w:rsidR="00A57BFD" w:rsidRDefault="005B0D19">
      <w:pPr>
        <w:pStyle w:val="Text1"/>
        <w:pBdr>
          <w:left w:val="single" w:sz="4" w:space="4" w:color="auto"/>
          <w:bottom w:val="single" w:sz="4" w:space="1" w:color="auto"/>
          <w:right w:val="single" w:sz="4" w:space="4" w:color="auto"/>
        </w:pBdr>
        <w:rPr>
          <w:noProof/>
        </w:rPr>
      </w:pPr>
      <w:r>
        <w:rPr>
          <w:noProof/>
        </w:rPr>
        <w:t>Οι στόχοι αυτοί είναι προσαρμοσμένοι και κατάλληλοι για τις προκλήσεις που αναφέρονται στο τμήμα 1.4.2 κατωτέρω, προκειμένου να δοθεί έμφαση στις 10 προτεραιότητες της Ευρωπαϊκής Επιτροπής για την περίοδο 2015-2019 και στους Στόχους Βιώσιμης Ανάπτυξης των ΗΕ, και για την εκπλήρωση των ανωτέρω υποβάλλονται οι προτάσεις που αποβλέπουν στη θέσπιση του νομοθετικού πλαισίου για την κοινή γεωργική πολιτική για την περίοδο 2021-2027 – Μια απλούστερη, πιο έξυπνη, σύγχρονη και πιο βιώσιμη ΚΓΠ.</w:t>
      </w:r>
    </w:p>
    <w:p w:rsidR="00A57BFD" w:rsidRDefault="005B0D19">
      <w:pPr>
        <w:pStyle w:val="ManualHeading3"/>
        <w:rPr>
          <w:bCs/>
          <w:noProof/>
          <w:szCs w:val="24"/>
        </w:rPr>
      </w:pPr>
      <w:r>
        <w:t>1.4.2.</w:t>
      </w:r>
      <w:r>
        <w:tab/>
      </w:r>
      <w:r>
        <w:rPr>
          <w:noProof/>
        </w:rPr>
        <w:t>Προστιθέμενη αξία της ενωσιακής παρέμβασης (που μπορεί να προκύπτει από διάφορους παράγοντες, π.χ. οφέλη από τον συντονισμό, ασφάλεια δικαίου, μεγαλύτερη αποτελεσματικότητα ή συμπληρωματικότητα). Για τους σκοπούς του παρόντος σημείου «προστιθέμενη αξία της ενωσιακής παρέμβασης» είναι η αξία που απορρέει από την παρέμβαση της Ένωσης και η οποία είναι επιπρόσθετη στην αξία που θα είχε δημιουργηθεί αν τα κράτη μέλη ενεργούσαν μεμονωμένα.</w:t>
      </w:r>
    </w:p>
    <w:p w:rsidR="00A57BFD" w:rsidRDefault="005B0D19">
      <w:pPr>
        <w:pStyle w:val="Text1"/>
        <w:pBdr>
          <w:top w:val="single" w:sz="4" w:space="1" w:color="auto"/>
          <w:left w:val="single" w:sz="4" w:space="4" w:color="auto"/>
          <w:bottom w:val="single" w:sz="4" w:space="1" w:color="auto"/>
          <w:right w:val="single" w:sz="4" w:space="4" w:color="auto"/>
        </w:pBdr>
        <w:rPr>
          <w:noProof/>
        </w:rPr>
      </w:pPr>
      <w:r>
        <w:rPr>
          <w:noProof/>
        </w:rPr>
        <w:t>Απαιτείται κοινή πολιτική σε επίπεδο ΕΕ λόγω του παγκόσμιου και διασυνοριακού χαρακτήρα των βασικών προκλήσεων που αντιμετωπίζει ο γεωργικός τομέας και οι αγροτικές περιοχές της ΕΕ. Η ΚΓΠ ανταποκρίνεται στις προκλήσεις αυτές με τους εξής τρόπους:</w:t>
      </w:r>
    </w:p>
    <w:p w:rsidR="00A57BFD" w:rsidRDefault="005B0D19">
      <w:pPr>
        <w:pStyle w:val="Text1"/>
        <w:pBdr>
          <w:top w:val="single" w:sz="4" w:space="1" w:color="auto"/>
          <w:left w:val="single" w:sz="4" w:space="4" w:color="auto"/>
          <w:bottom w:val="single" w:sz="4" w:space="1" w:color="auto"/>
          <w:right w:val="single" w:sz="4" w:space="4" w:color="auto"/>
        </w:pBdr>
        <w:ind w:left="1080" w:hanging="230"/>
        <w:rPr>
          <w:noProof/>
        </w:rPr>
      </w:pPr>
      <w:r>
        <w:rPr>
          <w:noProof/>
        </w:rPr>
        <w:t>● εξασφαλίζοντας μια ενιαία αγορά και ίσους όρους ανταγωνισμού μέσω ενός κοινού δικτύου ασφαλείας, ενός συστήματος στήριξης το οποίο ενισχύει την επισιτιστική ασφάλεια και αποτρέπει δυνητικές στρεβλώσεις του ανταγωνισμού·</w:t>
      </w:r>
    </w:p>
    <w:p w:rsidR="00A57BFD" w:rsidRDefault="005B0D19">
      <w:pPr>
        <w:pStyle w:val="Text1"/>
        <w:pBdr>
          <w:top w:val="single" w:sz="4" w:space="1" w:color="auto"/>
          <w:left w:val="single" w:sz="4" w:space="4" w:color="auto"/>
          <w:bottom w:val="single" w:sz="4" w:space="1" w:color="auto"/>
          <w:right w:val="single" w:sz="4" w:space="4" w:color="auto"/>
        </w:pBdr>
        <w:ind w:left="1080" w:hanging="230"/>
        <w:rPr>
          <w:noProof/>
        </w:rPr>
      </w:pPr>
      <w:r>
        <w:rPr>
          <w:noProof/>
        </w:rPr>
        <w:t>● ενισχύοντας την ανθεκτικότητα του γεωργικού τομέα της ΕΕ η οποία είναι αναγκαία για την αποκόμιση των οφελών της παγκοσμιοποίησης και</w:t>
      </w:r>
    </w:p>
    <w:p w:rsidR="00A57BFD" w:rsidRDefault="005B0D19">
      <w:pPr>
        <w:pStyle w:val="Text1"/>
        <w:pBdr>
          <w:top w:val="single" w:sz="4" w:space="1" w:color="auto"/>
          <w:left w:val="single" w:sz="4" w:space="4" w:color="auto"/>
          <w:bottom w:val="single" w:sz="4" w:space="1" w:color="auto"/>
          <w:right w:val="single" w:sz="4" w:space="4" w:color="auto"/>
        </w:pBdr>
        <w:tabs>
          <w:tab w:val="left" w:pos="1080"/>
        </w:tabs>
        <w:ind w:left="1080" w:hanging="230"/>
        <w:rPr>
          <w:noProof/>
        </w:rPr>
      </w:pPr>
      <w:r>
        <w:rPr>
          <w:noProof/>
        </w:rPr>
        <w:t>● επιτυγχάνοντας απτά αποτελέσματα σε βασικές πτυχές των προκλήσεων για τη βιωσιμότητα, όπως η κλιματική αλλαγή, η χρήση των υδάτων, η ποιότητα του αέρα και η βιοποικιλότητα μέσω της περιβαλλοντικής αρχιτεκτονικής της ΚΓΠ.</w:t>
      </w:r>
    </w:p>
    <w:p w:rsidR="00A57BFD" w:rsidRDefault="005B0D19">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Σε άλλους τομείς, μια ισχυρή ενωσιακή διάσταση θα πρέπει να συνδυαστεί με περισσότερη επικουρικότητα. Στους τομείς αυτούς περιλαμβάνονται η ασφάλεια των τροφίμων (π.χ. εναρμόνιση των προτύπων), οι προκλήσεις που αντιμετωπίζουν οι αγροτικές περιοχές (όπου παρατηρούνται μεγάλες αποκλίσεις στα ποσοστά αγροτικής ανεργίας μεταξύ των κρατών μελών), οι ανεπαρκείς αγροτικές υποδομές και υπηρεσίες, οι αδυναμίες στον τομέα της έρευνας και της καινοτομίας και τα προβλήματα που σχετίζονται με την ποιότητα των τροφίμων, τη δημόσια υγεία και τη διατροφή. Η κατάλληλη ανταπόκριση στις προκλήσεις αυτές σε επίπεδο ΕΕ επιτρέπει την ανάληψη πιο αποτελεσματικής και αποδοτικής δράσης σε συνδυασμό με μεγαλύτερη ευελιξία στο επίπεδο των κρατών μελών.</w:t>
      </w:r>
    </w:p>
    <w:p w:rsidR="00A57BFD" w:rsidRDefault="005B0D19">
      <w:pPr>
        <w:pStyle w:val="ManualHeading3"/>
        <w:rPr>
          <w:noProof/>
        </w:rPr>
      </w:pPr>
      <w:r>
        <w:t>1.4.3.</w:t>
      </w:r>
      <w:r>
        <w:tab/>
      </w:r>
      <w:r>
        <w:rPr>
          <w:noProof/>
        </w:rPr>
        <w:t>Διδάγματα από ανάλογες εμπειρίες του παρελθόντος</w:t>
      </w:r>
    </w:p>
    <w:p w:rsidR="00A57BFD" w:rsidRDefault="005B0D19">
      <w:pPr>
        <w:pStyle w:val="Text1"/>
        <w:pBdr>
          <w:top w:val="single" w:sz="4" w:space="1" w:color="auto"/>
          <w:left w:val="single" w:sz="4" w:space="4" w:color="auto"/>
          <w:bottom w:val="single" w:sz="4" w:space="1" w:color="auto"/>
          <w:right w:val="single" w:sz="4" w:space="4" w:color="auto"/>
        </w:pBdr>
        <w:rPr>
          <w:noProof/>
        </w:rPr>
      </w:pPr>
      <w:r>
        <w:rPr>
          <w:noProof/>
        </w:rPr>
        <w:t>Με βάση την αξιολόγηση του ισχύοντος πλαισίου πολιτικής, της εκτεταμένης διαβούλευσης με τα ενδιαφερόμενα μέρη, καθώς επίσης και της ανάλυσης των μελλοντικών προκλήσεων και αναγκών, διενεργήθηκε συνολική εκτίμηση αντικτύπου. Περισσότερες λεπτομέρειες παρέχονται στην εκτίμηση αντικτύπου και την αιτιολογική έκθεση που συνοδεύουν τις νομοθετικές προτάσεις.</w:t>
      </w:r>
    </w:p>
    <w:p w:rsidR="00A57BFD" w:rsidRDefault="005B0D19">
      <w:pPr>
        <w:pStyle w:val="ManualHeading3"/>
        <w:rPr>
          <w:noProof/>
        </w:rPr>
      </w:pPr>
      <w:r>
        <w:t>1.4.4.</w:t>
      </w:r>
      <w:r>
        <w:tab/>
      </w:r>
      <w:r>
        <w:rPr>
          <w:noProof/>
        </w:rPr>
        <w:t>Συμβατότητα και ενδεχόμενη συνέργεια με άλλα κατάλληλα μέσα</w:t>
      </w:r>
    </w:p>
    <w:p w:rsidR="00A57BFD" w:rsidRDefault="005B0D19">
      <w:pPr>
        <w:pStyle w:val="Text1"/>
        <w:pBdr>
          <w:top w:val="single" w:sz="4" w:space="1" w:color="auto"/>
          <w:left w:val="single" w:sz="4" w:space="4" w:color="auto"/>
          <w:bottom w:val="single" w:sz="4" w:space="1" w:color="auto"/>
          <w:right w:val="single" w:sz="4" w:space="4" w:color="auto"/>
        </w:pBdr>
        <w:rPr>
          <w:noProof/>
        </w:rPr>
      </w:pPr>
      <w:r>
        <w:rPr>
          <w:noProof/>
        </w:rPr>
        <w:t xml:space="preserve">Κυρίως όσον αφορά την ΚΓΠ, θα επιτευχθούν σημαντικές συνέργειες και αποτελέσματα απλούστευσης χάρη στο γεγονός ότι συμπεριλαμβάνεται εντός ενός </w:t>
      </w:r>
      <w:r>
        <w:rPr>
          <w:noProof/>
        </w:rPr>
        <w:lastRenderedPageBreak/>
        <w:t>στρατηγικού πλαισίου του στρατηγικού σχεδίου της ΚΓΠ η υλοποίηση των παρεμβάσεων που χρηματοδοτούνται τόσο από το ΕΓΤΕ όσο και από το ΕΓΤΑΑ. Οι δομές που υπάρχουν ήδη στα κράτη μέλη θα υποστηριχθούν ενώ παράλληλα οι κανόνες διαχείρισης και ελέγχου θα απλουστευθούν και θα προσαρμοστούν στις ειδικές παρεμβάσεις που υλοποιούνται από τα κράτη μέλη.</w:t>
      </w:r>
    </w:p>
    <w:p w:rsidR="00A57BFD" w:rsidRDefault="005B0D19">
      <w:pPr>
        <w:pStyle w:val="Text1"/>
        <w:pBdr>
          <w:top w:val="single" w:sz="4" w:space="1" w:color="auto"/>
          <w:left w:val="single" w:sz="4" w:space="4" w:color="auto"/>
          <w:bottom w:val="single" w:sz="4" w:space="1" w:color="auto"/>
          <w:right w:val="single" w:sz="4" w:space="4" w:color="auto"/>
        </w:pBdr>
        <w:rPr>
          <w:noProof/>
        </w:rPr>
      </w:pPr>
      <w:r>
        <w:rPr>
          <w:noProof/>
        </w:rPr>
        <w:t xml:space="preserve">Η ΚΓΠ διατηρεί ισχυρές συνέργειες με τις πολιτικές για το κλίμα και το περιβάλλον, την ασφάλεια των τροφίμων και τα ζητήματα που αφορούν την υγεία, το ψηφιακό θεματολόγιο στις αγροτικές περιοχές και τη βιοοικονομία, τη γνώση και την καινοτομία, την πολιτική για τη διεύρυνση και τη γειτονία, τις πολιτικές για το εμπόριο και την ανάπτυξη, το πρόγραμμα Erasmus+. </w:t>
      </w:r>
    </w:p>
    <w:p w:rsidR="00A57BFD" w:rsidRDefault="005B0D19">
      <w:pPr>
        <w:pStyle w:val="Text1"/>
        <w:pBdr>
          <w:top w:val="single" w:sz="4" w:space="1" w:color="auto"/>
          <w:left w:val="single" w:sz="4" w:space="4" w:color="auto"/>
          <w:bottom w:val="single" w:sz="4" w:space="1" w:color="auto"/>
          <w:right w:val="single" w:sz="4" w:space="4" w:color="auto"/>
        </w:pBdr>
        <w:rPr>
          <w:noProof/>
        </w:rPr>
      </w:pPr>
      <w:r>
        <w:rPr>
          <w:noProof/>
        </w:rPr>
        <w:t xml:space="preserve">Η ΚΓΠ θα εφαρμόζεται σε συνέργεια και συμπληρωματικότητα με άλλες πολιτικές και ταμεία της ΕΕ, όπως οι δράσεις που υλοποιούνται στο πλαίσιο των Ευρωπαϊκών Διαρθρωτικών και Επενδυτικών Ταμείων, του ταμείου InvestEU, του ένατου Προγράμματος-Πλαισίου για την Έρευνα, καθώς και των περιβαλλοντικών και κλιματικών πολιτικών. Κατά περίπτωση, θα θεσπιστούν κοινοί κανόνες με σκοπό τη μεγιστοποίηση της συνοχής και της συμπληρωματικότητας μεταξύ των ταμείων, φροντίζοντας παράλληλα ώστε να γίνονται σεβαστές οι ιδιαιτερότητες των πολιτικών αυτών. </w:t>
      </w:r>
    </w:p>
    <w:p w:rsidR="00A57BFD" w:rsidRDefault="005B0D19">
      <w:pPr>
        <w:pStyle w:val="Text1"/>
        <w:pBdr>
          <w:top w:val="single" w:sz="4" w:space="1" w:color="auto"/>
          <w:left w:val="single" w:sz="4" w:space="4" w:color="auto"/>
          <w:bottom w:val="single" w:sz="4" w:space="1" w:color="auto"/>
          <w:right w:val="single" w:sz="4" w:space="4" w:color="auto"/>
        </w:pBdr>
        <w:rPr>
          <w:noProof/>
        </w:rPr>
      </w:pPr>
      <w:r>
        <w:rPr>
          <w:noProof/>
        </w:rPr>
        <w:t>Θα διασφαλίζονται οι συνέργειες με το Πρόγραμμα-Πλαίσιο για την Έρευνα (ΠΠ) στην ομάδα «Τρόφιμα και Φυσικοί Πόροι» του 9ου ΠΠ, σκοπός της οποίας είναι να καταστήσει τη γεωργία και τα συστήματα παραγωγής τροφίμων πλήρως ασφαλή, βιώσιμα, ανθεκτικά, κυκλικά, ποικίλα και καινοτόμα. Η ΚΓΠ θα αναπτύξει ακόμη ισχυρότερους δεσμούς με την πολιτική της ΕΕ για την έρευνα και την καινοτομία θέτοντας τη βιοοικονομία ως προτεραιότητα για την ΚΓΠ. Στο πλαίσιο της ομάδας «Τρόφιμα και Φυσικοί Πόροι», δίδεται επίσης έμφαση στην αξιοποίηση των οφελών της ψηφιακής επανάστασης, και οι δραστηριότητες έρευνας και καινοτομίας θα συμβάλλουν στον ψηφιακό μετασχηματισμό της γεωργίας και των αγροτικών περιοχών.</w:t>
      </w:r>
    </w:p>
    <w:p w:rsidR="00A57BFD" w:rsidRDefault="005B0D19">
      <w:pPr>
        <w:pStyle w:val="Text1"/>
        <w:pBdr>
          <w:top w:val="single" w:sz="4" w:space="1" w:color="auto"/>
          <w:left w:val="single" w:sz="4" w:space="4" w:color="auto"/>
          <w:bottom w:val="single" w:sz="4" w:space="1" w:color="auto"/>
          <w:right w:val="single" w:sz="4" w:space="4" w:color="auto"/>
        </w:pBdr>
        <w:rPr>
          <w:noProof/>
        </w:rPr>
      </w:pPr>
      <w:r>
        <w:rPr>
          <w:noProof/>
        </w:rPr>
        <w:t>Οι νομοθετικές προτάσεις τις οποίες αφορά το παρόν δημοσιονομικό δελτίο εντάσσονται στο ευρύτερο πλαίσιο της πρότασης για τον κανονισμό περί κοινών διατάξεων ο οποίος καθορίζει ένα ενιαίο πλαίσιο κοινών κανόνων για ταμεία όπως το Ευρωπαϊκό Γεωργικό Ταμείο Αγροτικής Ανάπτυξης (ΕΓΤΑΑ), το Ευρωπαϊκό Ταμείο Περιφερειακής Ανάπτυξης, το Ευρωπαϊκό Κοινωνικό Ταμείο, το Ταμείο Συνοχής, το Ευρωπαϊκό Ταμείο Θάλασσας και Αλιείας και άλλα. Ο κανονισμός-πλαίσιο θα συμβάλει σημαντικά στη μείωση του διοικητικού φόρτου, στην αποτελεσματική διάθεση των κονδυλίων της ΕΕ και την έμπρακτη εφαρμογή της απλούστευσης.</w:t>
      </w:r>
    </w:p>
    <w:p w:rsidR="00A57BFD" w:rsidRDefault="005B0D19">
      <w:pPr>
        <w:pStyle w:val="ManualHeading2"/>
        <w:rPr>
          <w:bCs/>
          <w:noProof/>
          <w:szCs w:val="24"/>
        </w:rPr>
      </w:pPr>
      <w:r>
        <w:t>1.5.</w:t>
      </w:r>
      <w:r>
        <w:tab/>
      </w:r>
      <w:r>
        <w:rPr>
          <w:noProof/>
        </w:rPr>
        <w:t xml:space="preserve">Διάρκεια και δημοσιονομικές επιπτώσεις </w:t>
      </w:r>
    </w:p>
    <w:p w:rsidR="00A57BFD" w:rsidRDefault="005B0D19">
      <w:pPr>
        <w:pStyle w:val="Text1"/>
        <w:rPr>
          <w:noProof/>
        </w:rPr>
      </w:pPr>
      <w:r>
        <w:rPr>
          <w:noProof/>
        </w:rPr>
        <w:sym w:font="Wingdings" w:char="F0FD"/>
      </w:r>
      <w:r>
        <w:rPr>
          <w:noProof/>
        </w:rPr>
        <w:t xml:space="preserve"> </w:t>
      </w:r>
      <w:r>
        <w:rPr>
          <w:b/>
          <w:noProof/>
        </w:rPr>
        <w:t xml:space="preserve">περιορισμένη διάρκεια </w:t>
      </w:r>
    </w:p>
    <w:p w:rsidR="00A57BFD" w:rsidRDefault="005B0D19">
      <w:pPr>
        <w:pStyle w:val="ListDash2"/>
        <w:rPr>
          <w:noProof/>
        </w:rPr>
      </w:pPr>
      <w:r>
        <w:rPr>
          <w:noProof/>
        </w:rPr>
        <w:sym w:font="Wingdings" w:char="F0FD"/>
      </w:r>
      <w:r>
        <w:rPr>
          <w:noProof/>
        </w:rPr>
        <w:tab/>
        <w:t>ισχύει από την 1.1.2021 μέχρι την 31.12.2027.</w:t>
      </w:r>
    </w:p>
    <w:p w:rsidR="00A57BFD" w:rsidRDefault="005B0D19">
      <w:pPr>
        <w:pStyle w:val="ListDash2"/>
        <w:rPr>
          <w:noProof/>
        </w:rPr>
      </w:pPr>
      <w:r>
        <w:rPr>
          <w:noProof/>
        </w:rPr>
        <w:sym w:font="Wingdings" w:char="F0FD"/>
      </w:r>
      <w:r>
        <w:rPr>
          <w:noProof/>
        </w:rPr>
        <w:tab/>
        <w:t xml:space="preserve">Δημοσιονομικές επιπτώσεις από το 2021 έως το 2027 στις πιστώσεις ανάληψης υποχρεώσεων και από το 2021 έως μετά το 2027 στις πιστώσεις πληρωμών. </w:t>
      </w:r>
    </w:p>
    <w:p w:rsidR="00A57BFD" w:rsidRDefault="005B0D19">
      <w:pPr>
        <w:pStyle w:val="Text1"/>
        <w:rPr>
          <w:noProof/>
        </w:rPr>
      </w:pPr>
      <w:r>
        <w:rPr>
          <w:noProof/>
        </w:rPr>
        <w:sym w:font="Wingdings" w:char="F0FD"/>
      </w:r>
      <w:r>
        <w:rPr>
          <w:b/>
          <w:i/>
          <w:noProof/>
        </w:rPr>
        <w:t xml:space="preserve"> </w:t>
      </w:r>
      <w:r>
        <w:rPr>
          <w:b/>
          <w:noProof/>
        </w:rPr>
        <w:t xml:space="preserve">απεριόριστη διάρκεια </w:t>
      </w:r>
      <w:r>
        <w:rPr>
          <w:noProof/>
        </w:rPr>
        <w:t xml:space="preserve">για την πρόταση κανονισμού του Ευρωπαϊκού Κοινοβουλίου και του Συμβουλίου για την τροποποίηση των κανονισμών (ΕΕ) αριθ. 1308/2013 για τη θέσπιση κοινής οργάνωσης των αγορών γεωργικών προϊόντων, (ΕΕ) αριθ. 1151/2012 για τα συστήματα ποιότητας των γεωργικών προϊόντων και </w:t>
      </w:r>
      <w:r>
        <w:rPr>
          <w:noProof/>
        </w:rPr>
        <w:lastRenderedPageBreak/>
        <w:t>των τροφίμων, (ΕΕ) αριθ. 251/2014 για τον ορισμό, την περιγραφή, την παρουσίαση, την επισήμανση και την προστασία των γεωγραφικών ενδείξεων των αρωματισμένων αμπελοοινικών προϊόντων, (ΕΕ) αριθ. 228/2013 για τον καθορισμό ειδικών μέτρων για τη γεωργία στις εξόχως απόκεντρες περιοχές της Ένωσης και (ΕΕ) αριθ. 229/2013 για τη θέσπιση ειδικών μέτρων για τη γεωργία υπέρ των γεωργικών προϊόντων και των τροφίμων στα μικρά νησιά του Αιγαίου.</w:t>
      </w:r>
    </w:p>
    <w:p w:rsidR="00A57BFD" w:rsidRDefault="005B0D19">
      <w:pPr>
        <w:pStyle w:val="ListDash1"/>
        <w:rPr>
          <w:noProof/>
        </w:rPr>
      </w:pPr>
      <w:r>
        <w:rPr>
          <w:noProof/>
        </w:rPr>
        <w:t>Εφαρμογή από το 2021 (οικονομικό έτος).</w:t>
      </w:r>
    </w:p>
    <w:p w:rsidR="00A57BFD" w:rsidRDefault="005B0D19">
      <w:pPr>
        <w:pStyle w:val="ManualHeading2"/>
        <w:rPr>
          <w:bCs/>
          <w:noProof/>
          <w:szCs w:val="24"/>
        </w:rPr>
      </w:pPr>
      <w:r>
        <w:t>1.6.</w:t>
      </w:r>
      <w:r>
        <w:tab/>
      </w:r>
      <w:r>
        <w:rPr>
          <w:noProof/>
        </w:rPr>
        <w:t>Προβλεπόμενοι τρόποι διαχείρισης</w:t>
      </w:r>
      <w:r>
        <w:rPr>
          <w:rStyle w:val="af7"/>
          <w:noProof/>
        </w:rPr>
        <w:footnoteReference w:id="40"/>
      </w:r>
      <w:r>
        <w:rPr>
          <w:rStyle w:val="af7"/>
          <w:noProof/>
        </w:rPr>
        <w:t xml:space="preserve"> </w:t>
      </w:r>
    </w:p>
    <w:p w:rsidR="00A57BFD" w:rsidRDefault="005B0D19">
      <w:pPr>
        <w:pStyle w:val="Text1"/>
        <w:rPr>
          <w:noProof/>
        </w:rPr>
      </w:pPr>
      <w:r>
        <w:rPr>
          <w:noProof/>
        </w:rPr>
        <w:sym w:font="Wingdings" w:char="F0FD"/>
      </w:r>
      <w:r>
        <w:rPr>
          <w:i/>
          <w:noProof/>
        </w:rPr>
        <w:t xml:space="preserve"> </w:t>
      </w:r>
      <w:r>
        <w:rPr>
          <w:b/>
          <w:noProof/>
        </w:rPr>
        <w:t>Άμεση διαχείριση</w:t>
      </w:r>
      <w:r>
        <w:rPr>
          <w:noProof/>
        </w:rPr>
        <w:t xml:space="preserve"> από την Επιτροπή</w:t>
      </w:r>
    </w:p>
    <w:p w:rsidR="00A57BFD" w:rsidRDefault="005B0D19">
      <w:pPr>
        <w:pStyle w:val="ListDash2"/>
        <w:rPr>
          <w:rFonts w:cs="EUAlbertina"/>
          <w:noProof/>
        </w:rPr>
      </w:pPr>
      <w:r>
        <w:rPr>
          <w:noProof/>
        </w:rPr>
        <w:sym w:font="Wingdings" w:char="F0FD"/>
      </w:r>
      <w:r>
        <w:rPr>
          <w:noProof/>
        </w:rPr>
        <w:t xml:space="preserve"> </w:t>
      </w:r>
      <w:r>
        <w:rPr>
          <w:noProof/>
        </w:rPr>
        <w:tab/>
        <w:t xml:space="preserve">από τις υπηρεσίες της, συμπεριλαμβανομένου του προσωπικού της στις αντιπροσωπείες της Ένωσης </w:t>
      </w:r>
    </w:p>
    <w:p w:rsidR="00A57BFD" w:rsidRDefault="005B0D19">
      <w:pPr>
        <w:pStyle w:val="ListDash2"/>
        <w:rPr>
          <w:noProof/>
        </w:rPr>
      </w:pPr>
      <w:r>
        <w:rPr>
          <w:noProof/>
        </w:rPr>
        <w:sym w:font="Wingdings" w:char="F0FD"/>
      </w:r>
      <w:r>
        <w:rPr>
          <w:noProof/>
        </w:rPr>
        <w:tab/>
        <w:t xml:space="preserve">από τους εκτελεστικούς οργανισμούς </w:t>
      </w:r>
    </w:p>
    <w:p w:rsidR="00A57BFD" w:rsidRDefault="005B0D19">
      <w:pPr>
        <w:pStyle w:val="Text1"/>
        <w:rPr>
          <w:noProof/>
        </w:rPr>
      </w:pPr>
      <w:r>
        <w:rPr>
          <w:noProof/>
        </w:rPr>
        <w:sym w:font="Wingdings" w:char="F0FD"/>
      </w:r>
      <w:r>
        <w:rPr>
          <w:b/>
          <w:i/>
          <w:noProof/>
        </w:rPr>
        <w:t xml:space="preserve"> </w:t>
      </w:r>
      <w:r>
        <w:rPr>
          <w:b/>
          <w:noProof/>
        </w:rPr>
        <w:t>Επιμερισμένη διαχείριση</w:t>
      </w:r>
      <w:r>
        <w:rPr>
          <w:noProof/>
        </w:rPr>
        <w:t xml:space="preserve"> με τα κράτη μέλη </w:t>
      </w:r>
    </w:p>
    <w:p w:rsidR="00A57BFD" w:rsidRDefault="005B0D19">
      <w:pPr>
        <w:pStyle w:val="Text1"/>
        <w:rPr>
          <w:noProof/>
        </w:rPr>
      </w:pPr>
      <w:r>
        <w:rPr>
          <w:noProof/>
        </w:rPr>
        <w:sym w:font="Wingdings" w:char="F0A8"/>
      </w:r>
      <w:r>
        <w:rPr>
          <w:i/>
          <w:noProof/>
        </w:rPr>
        <w:t xml:space="preserve"> </w:t>
      </w:r>
      <w:r>
        <w:rPr>
          <w:b/>
          <w:noProof/>
        </w:rPr>
        <w:t>Έμμεση διαχείριση</w:t>
      </w:r>
      <w:r>
        <w:rPr>
          <w:noProof/>
        </w:rPr>
        <w:t xml:space="preserve"> με ανάθεση καθηκόντων εκτέλεσης του προϋπολογισμού:</w:t>
      </w:r>
    </w:p>
    <w:p w:rsidR="00A57BFD" w:rsidRDefault="005B0D19">
      <w:pPr>
        <w:pStyle w:val="ListDash2"/>
        <w:rPr>
          <w:noProof/>
        </w:rPr>
      </w:pPr>
      <w:r>
        <w:rPr>
          <w:noProof/>
        </w:rPr>
        <w:sym w:font="Wingdings" w:char="F0A8"/>
      </w:r>
      <w:r>
        <w:rPr>
          <w:noProof/>
        </w:rPr>
        <w:t xml:space="preserve"> σε τρίτες χώρες ή οργανισμούς που αυτές έχουν ορίσει</w:t>
      </w:r>
    </w:p>
    <w:p w:rsidR="00A57BFD" w:rsidRDefault="005B0D19">
      <w:pPr>
        <w:pStyle w:val="ListDash2"/>
        <w:rPr>
          <w:noProof/>
        </w:rPr>
      </w:pPr>
      <w:r>
        <w:rPr>
          <w:noProof/>
        </w:rPr>
        <w:sym w:font="Wingdings" w:char="F0A8"/>
      </w:r>
      <w:r>
        <w:rPr>
          <w:noProof/>
        </w:rPr>
        <w:t xml:space="preserve"> σε διεθνείς οργανισμούς και τις οργανώσεις τους (να προσδιοριστούν)</w:t>
      </w:r>
    </w:p>
    <w:p w:rsidR="00A57BFD" w:rsidRDefault="005B0D19">
      <w:pPr>
        <w:pStyle w:val="ListDash2"/>
        <w:rPr>
          <w:noProof/>
        </w:rPr>
      </w:pPr>
      <w:r>
        <w:rPr>
          <w:noProof/>
        </w:rPr>
        <w:sym w:font="Wingdings" w:char="F0A8"/>
      </w:r>
      <w:r>
        <w:rPr>
          <w:noProof/>
        </w:rPr>
        <w:t xml:space="preserve"> στην ΕΤΕπ και το Ευρωπαϊκό Ταμείο Επενδύσεων</w:t>
      </w:r>
    </w:p>
    <w:p w:rsidR="00A57BFD" w:rsidRDefault="005B0D19">
      <w:pPr>
        <w:pStyle w:val="ListDash2"/>
        <w:rPr>
          <w:noProof/>
        </w:rPr>
      </w:pPr>
      <w:r>
        <w:rPr>
          <w:noProof/>
        </w:rPr>
        <w:sym w:font="Wingdings" w:char="F0A8"/>
      </w:r>
      <w:r>
        <w:rPr>
          <w:noProof/>
        </w:rPr>
        <w:t xml:space="preserve"> στους οργανισμούς που αναφέρονται στα άρθρα 70 και 71 του δημοσιονομικού κανονισμού</w:t>
      </w:r>
    </w:p>
    <w:p w:rsidR="00A57BFD" w:rsidRDefault="005B0D19">
      <w:pPr>
        <w:pStyle w:val="ListDash2"/>
        <w:rPr>
          <w:noProof/>
        </w:rPr>
      </w:pPr>
      <w:r>
        <w:rPr>
          <w:noProof/>
        </w:rPr>
        <w:sym w:font="Wingdings" w:char="F0A8"/>
      </w:r>
      <w:r>
        <w:rPr>
          <w:noProof/>
        </w:rPr>
        <w:t xml:space="preserve"> σε οργανισμούς δημοσίου δικαίου</w:t>
      </w:r>
    </w:p>
    <w:p w:rsidR="00A57BFD" w:rsidRDefault="005B0D19">
      <w:pPr>
        <w:pStyle w:val="ListDash2"/>
        <w:rPr>
          <w:noProof/>
        </w:rPr>
      </w:pPr>
      <w:r>
        <w:rPr>
          <w:noProof/>
        </w:rPr>
        <w:sym w:font="Wingdings" w:char="F0A8"/>
      </w:r>
      <w:r>
        <w:rPr>
          <w:noProof/>
        </w:rPr>
        <w:t xml:space="preserve"> σε οργανισμούς που διέπονται από ιδιωτικό δίκαιο και έχουν αποστολή δημόσιας υπηρεσίας, στον βαθμό που παρέχουν επαρκείς οικονομικές εγγυήσεις</w:t>
      </w:r>
    </w:p>
    <w:p w:rsidR="00A57BFD" w:rsidRDefault="005B0D19">
      <w:pPr>
        <w:pStyle w:val="ListDash2"/>
        <w:rPr>
          <w:noProof/>
        </w:rPr>
      </w:pPr>
      <w:r>
        <w:rPr>
          <w:noProof/>
        </w:rPr>
        <w:sym w:font="Wingdings" w:char="F0A8"/>
      </w:r>
      <w:r>
        <w:rPr>
          <w:noProof/>
        </w:rPr>
        <w:t xml:space="preserve"> σε οργανισμούς που διέπονται από το ιδιωτικό δίκαιο κράτους μέλους, στους οποίους έχει ανατεθεί η εκτέλεση σύμπραξης δημόσιου και ιδιωτικού τομέα και οι οποίοι παρέχουν επαρκείς οικονομικές εγγυήσεις</w:t>
      </w:r>
    </w:p>
    <w:p w:rsidR="00A57BFD" w:rsidRDefault="005B0D19">
      <w:pPr>
        <w:pStyle w:val="ListDash2"/>
        <w:rPr>
          <w:noProof/>
        </w:rPr>
      </w:pPr>
      <w:r>
        <w:rPr>
          <w:noProof/>
        </w:rPr>
        <w:sym w:font="Wingdings" w:char="F0A8"/>
      </w:r>
      <w:r>
        <w:rPr>
          <w:noProof/>
        </w:rPr>
        <w:t xml:space="preserve"> σε πρόσωπα επιφορτισμένα με την εκτέλεση συγκεκριμένων δράσεων στην ΚΕΠΠΑ βάσει του τίτλου V της ΣΕΕ και τα οποία προσδιορίζονται στην αντίστοιχη βασική πράξη</w:t>
      </w:r>
    </w:p>
    <w:p w:rsidR="00A57BFD" w:rsidRDefault="005B0D19">
      <w:pPr>
        <w:pStyle w:val="ListDash2"/>
        <w:rPr>
          <w:i/>
          <w:noProof/>
          <w:sz w:val="18"/>
          <w:u w:val="single"/>
        </w:rPr>
      </w:pPr>
      <w:r>
        <w:rPr>
          <w:i/>
          <w:noProof/>
          <w:sz w:val="18"/>
        </w:rPr>
        <w:t>Αν αναφέρονται περισσότεροι του ενός τρόποι διαχείρισης, να διευκρινιστούν στο τμήμα «Παρατηρήσεις».</w:t>
      </w:r>
    </w:p>
    <w:p w:rsidR="00A57BFD" w:rsidRDefault="005B0D19">
      <w:pPr>
        <w:rPr>
          <w:noProof/>
        </w:rPr>
      </w:pPr>
      <w:r>
        <w:rPr>
          <w:noProof/>
        </w:rPr>
        <w:t xml:space="preserve">Παρατηρήσεις </w:t>
      </w:r>
    </w:p>
    <w:p w:rsidR="00A57BFD" w:rsidRDefault="005B0D19">
      <w:pPr>
        <w:pBdr>
          <w:top w:val="single" w:sz="4" w:space="1" w:color="auto"/>
          <w:left w:val="single" w:sz="4" w:space="4" w:color="auto"/>
          <w:bottom w:val="single" w:sz="4" w:space="1" w:color="auto"/>
          <w:right w:val="single" w:sz="4" w:space="4" w:color="auto"/>
        </w:pBdr>
        <w:rPr>
          <w:noProof/>
        </w:rPr>
      </w:pPr>
      <w:r>
        <w:rPr>
          <w:noProof/>
        </w:rPr>
        <w:t>Καμία τροποποίηση επί της ουσίας σε σύγκριση με τη σημερινή κατάσταση, δηλαδή η διαχείριση του μεγαλύτερου μέρους των δαπανών τις οποίες αφορούν οι νομοθετικές πράξεις για την ΚΓΠ θα πραγματοποιείται με επιμερισμένη διαχείριση με τα κράτη μέλη. Ωστόσο, ένα πολύ μικρό μέρος θα εξακολουθήσει να αποτελεί αντικείμενο άμεσης διαχείρισης από την Επιτροπή.</w:t>
      </w:r>
    </w:p>
    <w:p w:rsidR="00A57BFD" w:rsidRDefault="00A57BFD">
      <w:pPr>
        <w:rPr>
          <w:noProof/>
        </w:rPr>
        <w:sectPr w:rsidR="00A57BFD" w:rsidSect="005B0D19">
          <w:pgSz w:w="11907" w:h="16840" w:code="9"/>
          <w:pgMar w:top="1134" w:right="1418" w:bottom="1134" w:left="1418" w:header="709" w:footer="709" w:gutter="0"/>
          <w:cols w:space="720"/>
          <w:docGrid w:linePitch="360"/>
        </w:sectPr>
      </w:pPr>
    </w:p>
    <w:p w:rsidR="00A57BFD" w:rsidRDefault="005B0D19">
      <w:pPr>
        <w:pStyle w:val="ManualHeading1"/>
        <w:rPr>
          <w:bCs/>
          <w:noProof/>
          <w:szCs w:val="24"/>
        </w:rPr>
      </w:pPr>
      <w:r>
        <w:lastRenderedPageBreak/>
        <w:t>2.</w:t>
      </w:r>
      <w:r>
        <w:tab/>
      </w:r>
      <w:r>
        <w:rPr>
          <w:noProof/>
        </w:rPr>
        <w:t xml:space="preserve">ΜΕΤΡΑ ΔΙΑΧΕΙΡΙΣΗΣ </w:t>
      </w:r>
    </w:p>
    <w:p w:rsidR="00A57BFD" w:rsidRDefault="005B0D19">
      <w:pPr>
        <w:pStyle w:val="ManualHeading2"/>
        <w:rPr>
          <w:noProof/>
        </w:rPr>
      </w:pPr>
      <w:r>
        <w:t>2.1.</w:t>
      </w:r>
      <w:r>
        <w:tab/>
      </w:r>
      <w:r>
        <w:rPr>
          <w:noProof/>
        </w:rPr>
        <w:t xml:space="preserve">Κανόνες παρακολούθησης και υποβολής εκθέσεων </w:t>
      </w:r>
    </w:p>
    <w:p w:rsidR="00A57BFD" w:rsidRDefault="005B0D19">
      <w:pPr>
        <w:pStyle w:val="Text1"/>
        <w:rPr>
          <w:i/>
          <w:noProof/>
          <w:sz w:val="20"/>
          <w:u w:val="single"/>
        </w:rPr>
      </w:pPr>
      <w:r>
        <w:rPr>
          <w:i/>
          <w:noProof/>
          <w:sz w:val="20"/>
        </w:rPr>
        <w:t>Να προσδιοριστούν η συχνότητα και οι όροι.</w:t>
      </w:r>
    </w:p>
    <w:p w:rsidR="00A57BFD" w:rsidRDefault="005B0D19">
      <w:pPr>
        <w:pStyle w:val="Text1"/>
        <w:pBdr>
          <w:top w:val="single" w:sz="4" w:space="1" w:color="auto"/>
          <w:left w:val="single" w:sz="4" w:space="4" w:color="auto"/>
          <w:bottom w:val="single" w:sz="4" w:space="1" w:color="auto"/>
          <w:right w:val="single" w:sz="4" w:space="4" w:color="auto"/>
        </w:pBdr>
        <w:rPr>
          <w:noProof/>
        </w:rPr>
      </w:pPr>
      <w:r>
        <w:rPr>
          <w:noProof/>
        </w:rPr>
        <w:t>Θεσπίζεται πλαίσιο παρακολούθησης και αξιολόγησης με σκοπό:</w:t>
      </w:r>
    </w:p>
    <w:p w:rsidR="00A57BFD" w:rsidRDefault="005B0D19">
      <w:pPr>
        <w:pStyle w:val="Text1"/>
        <w:pBdr>
          <w:top w:val="single" w:sz="4" w:space="1" w:color="auto"/>
          <w:left w:val="single" w:sz="4" w:space="4" w:color="auto"/>
          <w:bottom w:val="single" w:sz="4" w:space="1" w:color="auto"/>
          <w:right w:val="single" w:sz="4" w:space="4" w:color="auto"/>
        </w:pBdr>
        <w:rPr>
          <w:noProof/>
        </w:rPr>
      </w:pPr>
      <w:r>
        <w:rPr>
          <w:noProof/>
        </w:rPr>
        <w:t>α)</w:t>
      </w:r>
      <w:r>
        <w:rPr>
          <w:noProof/>
        </w:rPr>
        <w:tab/>
        <w:t>την αξιολόγηση του αντικτύπου, της αποτελεσματικότητας, της αποδοτικότητας, της συνάφειας, της συνοχής και της ενωσιακής προστιθέμενης αξίας της ΚΓΠ·</w:t>
      </w:r>
    </w:p>
    <w:p w:rsidR="00A57BFD" w:rsidRDefault="005B0D19">
      <w:pPr>
        <w:pStyle w:val="Text1"/>
        <w:pBdr>
          <w:top w:val="single" w:sz="4" w:space="1" w:color="auto"/>
          <w:left w:val="single" w:sz="4" w:space="4" w:color="auto"/>
          <w:bottom w:val="single" w:sz="4" w:space="1" w:color="auto"/>
          <w:right w:val="single" w:sz="4" w:space="4" w:color="auto"/>
        </w:pBdr>
        <w:rPr>
          <w:noProof/>
        </w:rPr>
      </w:pPr>
      <w:r>
        <w:rPr>
          <w:noProof/>
        </w:rPr>
        <w:t>β)</w:t>
      </w:r>
      <w:r>
        <w:rPr>
          <w:noProof/>
        </w:rPr>
        <w:tab/>
        <w:t>τη θέση οροσήμων και στόχων για τους ειδικούς στόχους των στρατηγικών σχεδίων της ΚΓΠ·</w:t>
      </w:r>
    </w:p>
    <w:p w:rsidR="00A57BFD" w:rsidRDefault="005B0D19">
      <w:pPr>
        <w:pStyle w:val="Text1"/>
        <w:pBdr>
          <w:top w:val="single" w:sz="4" w:space="1" w:color="auto"/>
          <w:left w:val="single" w:sz="4" w:space="4" w:color="auto"/>
          <w:bottom w:val="single" w:sz="4" w:space="1" w:color="auto"/>
          <w:right w:val="single" w:sz="4" w:space="4" w:color="auto"/>
        </w:pBdr>
        <w:rPr>
          <w:noProof/>
        </w:rPr>
      </w:pPr>
      <w:r>
        <w:rPr>
          <w:noProof/>
        </w:rPr>
        <w:t>γ)</w:t>
      </w:r>
      <w:r>
        <w:rPr>
          <w:noProof/>
        </w:rPr>
        <w:tab/>
        <w:t xml:space="preserve">την παρακολούθηση της προόδου που σημειώνεται όσον αφορά την επίτευξη των στόχων του στρατηγικού σχεδίου της ΚΓΠ· </w:t>
      </w:r>
    </w:p>
    <w:p w:rsidR="00A57BFD" w:rsidRDefault="005B0D19">
      <w:pPr>
        <w:pStyle w:val="Text1"/>
        <w:pBdr>
          <w:top w:val="single" w:sz="4" w:space="1" w:color="auto"/>
          <w:left w:val="single" w:sz="4" w:space="4" w:color="auto"/>
          <w:bottom w:val="single" w:sz="4" w:space="1" w:color="auto"/>
          <w:right w:val="single" w:sz="4" w:space="4" w:color="auto"/>
        </w:pBdr>
        <w:rPr>
          <w:noProof/>
        </w:rPr>
      </w:pPr>
      <w:r>
        <w:rPr>
          <w:noProof/>
        </w:rPr>
        <w:t>δ)</w:t>
      </w:r>
      <w:r>
        <w:rPr>
          <w:noProof/>
        </w:rPr>
        <w:tab/>
        <w:t>την αξιολόγηση του αντικτύπου, της αποτελεσματικότητας, της αποδοτικότητας, της συνάφειας, της συνοχής των παρεμβάσεων που πραγματοποιούνται στο πλαίσιο των στρατηγικών σχεδίων της ΚΓΠ·</w:t>
      </w:r>
    </w:p>
    <w:p w:rsidR="00A57BFD" w:rsidRDefault="005B0D19">
      <w:pPr>
        <w:pStyle w:val="Text1"/>
        <w:pBdr>
          <w:top w:val="single" w:sz="4" w:space="1" w:color="auto"/>
          <w:left w:val="single" w:sz="4" w:space="4" w:color="auto"/>
          <w:bottom w:val="single" w:sz="4" w:space="1" w:color="auto"/>
          <w:right w:val="single" w:sz="4" w:space="4" w:color="auto"/>
        </w:pBdr>
        <w:rPr>
          <w:noProof/>
        </w:rPr>
      </w:pPr>
      <w:r>
        <w:rPr>
          <w:noProof/>
        </w:rPr>
        <w:t>ε)</w:t>
      </w:r>
      <w:r>
        <w:rPr>
          <w:noProof/>
        </w:rPr>
        <w:tab/>
        <w:t>να στηρίζει μια κοινή διαδικασία μάθησης που σχετίζεται με την παρακολούθηση και την αξιολόγηση.</w:t>
      </w:r>
    </w:p>
    <w:p w:rsidR="00A57BFD" w:rsidRDefault="005B0D19">
      <w:pPr>
        <w:pStyle w:val="Text1"/>
        <w:pBdr>
          <w:top w:val="single" w:sz="4" w:space="1" w:color="auto"/>
          <w:left w:val="single" w:sz="4" w:space="4" w:color="auto"/>
          <w:bottom w:val="single" w:sz="4" w:space="1" w:color="auto"/>
          <w:right w:val="single" w:sz="4" w:space="4" w:color="auto"/>
        </w:pBdr>
        <w:rPr>
          <w:noProof/>
        </w:rPr>
      </w:pPr>
      <w:r>
        <w:rPr>
          <w:noProof/>
        </w:rPr>
        <w:t>Η διαχειριστική αρχή και η επιτροπή παρακολούθησης θα παρακολουθούν την εφαρμογή του στρατηγικού σχεδίου της ΚΓΠ και την πρόοδο που σημειώνεται ως προς την επίτευξη των στόχων του στρατηγικού σχεδίου της ΚΓΠ.</w:t>
      </w:r>
    </w:p>
    <w:p w:rsidR="00A57BFD" w:rsidRDefault="005B0D19">
      <w:pPr>
        <w:pStyle w:val="Text1"/>
        <w:pBdr>
          <w:top w:val="single" w:sz="4" w:space="1" w:color="auto"/>
          <w:left w:val="single" w:sz="4" w:space="4" w:color="auto"/>
          <w:bottom w:val="single" w:sz="4" w:space="1" w:color="auto"/>
          <w:right w:val="single" w:sz="4" w:space="4" w:color="auto"/>
        </w:pBdr>
        <w:rPr>
          <w:b/>
          <w:noProof/>
        </w:rPr>
      </w:pPr>
      <w:r>
        <w:rPr>
          <w:b/>
          <w:noProof/>
        </w:rPr>
        <w:t xml:space="preserve">Ετήσιες εκθέσεις επιδόσεων </w:t>
      </w:r>
    </w:p>
    <w:p w:rsidR="00A57BFD" w:rsidRDefault="005B0D19">
      <w:pPr>
        <w:pStyle w:val="Text1"/>
        <w:pBdr>
          <w:top w:val="single" w:sz="4" w:space="1" w:color="auto"/>
          <w:left w:val="single" w:sz="4" w:space="4" w:color="auto"/>
          <w:bottom w:val="single" w:sz="4" w:space="1" w:color="auto"/>
          <w:right w:val="single" w:sz="4" w:space="4" w:color="auto"/>
        </w:pBdr>
        <w:rPr>
          <w:noProof/>
        </w:rPr>
      </w:pPr>
      <w:r>
        <w:rPr>
          <w:noProof/>
        </w:rPr>
        <w:t xml:space="preserve">Έως την 15η Φεβρουαρίου 2023 και την 15η Φεβρουαρίου κάθε επόμενου έτους μέχρι και το 2030, τα κράτη μέλη υποβάλλουν στην Επιτροπή ετήσιες εκθέσεις σχετικά με την εφαρμογή του στρατηγικού σχεδίου της ΚΓΠ κατά το προηγούμενο οικονομικό έτος. Οι εκθέσεις αυτές προσδιορίζουν βασικά ποιοτικά και ποσοτικά στοιχεία σχετικά με την εφαρμογή του στρατηγικού σχεδίου της ΚΓΠ με αναφορά στα δημοσιονομικά δεδομένα και τους δείκτες εκροών και αποτελεσμάτων. Η έκθεση περιλαμβάνει επίσης πληροφορίες σχετικά με τις πραγματοποιηθείσες εκροές, τις πραγματοποιηθείσες δαπάνες, τα πραγματοποιηθέντα αποτελέσματα και την απόσταση από τους αντίστοιχους στόχους. </w:t>
      </w:r>
    </w:p>
    <w:p w:rsidR="00A57BFD" w:rsidRDefault="005B0D19">
      <w:pPr>
        <w:pStyle w:val="Text1"/>
        <w:pBdr>
          <w:top w:val="single" w:sz="4" w:space="1" w:color="auto"/>
          <w:left w:val="single" w:sz="4" w:space="4" w:color="auto"/>
          <w:bottom w:val="single" w:sz="4" w:space="1" w:color="auto"/>
          <w:right w:val="single" w:sz="4" w:space="4" w:color="auto"/>
        </w:pBdr>
        <w:rPr>
          <w:noProof/>
        </w:rPr>
      </w:pPr>
      <w:r>
        <w:rPr>
          <w:noProof/>
        </w:rPr>
        <w:t xml:space="preserve">Τα κοινοποιούμενα δεδομένα αφορούν τις τιμές που επιτυγχάνονται για τους δείκτες που αφορούν τόσο τις μερικώς και όσο και τις πλήρως υλοποιηθείσες παρεμβάσεις. Οι εκθέσεις περιλαμβάνουν επίσης συνοπτική παρουσίαση της προόδου που επιτεύχθηκε όσον αφορά την εφαρμογή του στρατηγικού σχεδίου της ΚΓΠ κατά τη διάρκεια του προηγούμενου οικονομικού έτους, τυχόν ζητημάτων που επηρεάζουν τις επιδόσεις του στρατηγικού σχεδίου της ΚΓΠ, ιδίως σε ό,τι αφορά τις αποκλίσεις από τα ορόσημα που έχουν τεθεί, υπογραμμίζοντας τους σχετικούς λόγους και, κατά περίπτωση, των μέτρων που έχουν ληφθεί. </w:t>
      </w:r>
    </w:p>
    <w:p w:rsidR="00A57BFD" w:rsidRDefault="005B0D19">
      <w:pPr>
        <w:pStyle w:val="Text1"/>
        <w:pBdr>
          <w:top w:val="single" w:sz="4" w:space="1" w:color="auto"/>
          <w:left w:val="single" w:sz="4" w:space="4" w:color="auto"/>
          <w:bottom w:val="single" w:sz="4" w:space="1" w:color="auto"/>
          <w:right w:val="single" w:sz="4" w:space="4" w:color="auto"/>
        </w:pBdr>
        <w:rPr>
          <w:noProof/>
        </w:rPr>
      </w:pPr>
      <w:r>
        <w:rPr>
          <w:noProof/>
        </w:rPr>
        <w:t>Η Επιτροπή πραγματοποιεί ετήσια επανεξέταση των επιδόσεων και ετήσια εκκαθάριση επιδόσεων βάσει των πληροφοριών που παρασχέθηκαν στις ετήσιες εκθέσεις επιδόσεων.</w:t>
      </w:r>
    </w:p>
    <w:p w:rsidR="00A57BFD" w:rsidRDefault="005B0D19">
      <w:pPr>
        <w:pStyle w:val="Text1"/>
        <w:pBdr>
          <w:top w:val="single" w:sz="4" w:space="1" w:color="auto"/>
          <w:left w:val="single" w:sz="4" w:space="4" w:color="auto"/>
          <w:bottom w:val="single" w:sz="4" w:space="1" w:color="auto"/>
          <w:right w:val="single" w:sz="4" w:space="4" w:color="auto"/>
        </w:pBdr>
        <w:rPr>
          <w:b/>
          <w:noProof/>
        </w:rPr>
      </w:pPr>
      <w:r>
        <w:rPr>
          <w:b/>
          <w:noProof/>
        </w:rPr>
        <w:t>Αξιολόγηση των στρατηγικών σχεδίων της ΚΓΠ</w:t>
      </w:r>
    </w:p>
    <w:p w:rsidR="00A57BFD" w:rsidRDefault="005B0D19">
      <w:pPr>
        <w:pStyle w:val="Text1"/>
        <w:pBdr>
          <w:top w:val="single" w:sz="4" w:space="1" w:color="auto"/>
          <w:left w:val="single" w:sz="4" w:space="4" w:color="auto"/>
          <w:bottom w:val="single" w:sz="4" w:space="1" w:color="auto"/>
          <w:right w:val="single" w:sz="4" w:space="4" w:color="auto"/>
        </w:pBdr>
        <w:rPr>
          <w:noProof/>
        </w:rPr>
      </w:pPr>
      <w:r>
        <w:rPr>
          <w:noProof/>
        </w:rPr>
        <w:t xml:space="preserve">Τα κράτη μέλη πραγματοποιούν εκ των προτέρων αξιολογήσεις, συμπεριλαμβανομένης ανάλυσης των πλεονεκτημάτων, των αδυναμιών, των </w:t>
      </w:r>
      <w:r>
        <w:rPr>
          <w:noProof/>
        </w:rPr>
        <w:lastRenderedPageBreak/>
        <w:t xml:space="preserve">ευκαιριών και των απειλών που σχετίζονται με το σχετικό στρατηγικό σχέδιο της ΚΓΠ ώστε να εντοπίζουν τις ανάγκες που πρέπει να αντιμετωπιστούν από το στρατηγικό σχέδιο της ΚΓΠ. </w:t>
      </w:r>
    </w:p>
    <w:p w:rsidR="00A57BFD" w:rsidRDefault="005B0D19">
      <w:pPr>
        <w:pStyle w:val="Text1"/>
        <w:pBdr>
          <w:top w:val="single" w:sz="4" w:space="1" w:color="auto"/>
          <w:left w:val="single" w:sz="4" w:space="4" w:color="auto"/>
          <w:bottom w:val="single" w:sz="4" w:space="1" w:color="auto"/>
          <w:right w:val="single" w:sz="4" w:space="4" w:color="auto"/>
        </w:pBdr>
        <w:rPr>
          <w:noProof/>
        </w:rPr>
      </w:pPr>
      <w:r>
        <w:rPr>
          <w:noProof/>
        </w:rPr>
        <w:t>Αξιολογήσεις των στρατηγικών σχεδίων της ΚΓΠ διενεργούνται από τα κράτη μέλη με σκοπό τη βελτίωση της ποιότητας του σχεδιασμού και της εφαρμογής των προγραμμάτων καθώς και για την αξιολόγηση της αποτελεσματικότητας, της αποδοτικότητας, της συνάφειας, της συνοχής, της ενωσιακής προστιθέμενης αξίας και του αντίκτυπου σε σχέση με τη συμβολή τους στους γενικούς και ειδικούς στόχους της ΚΓΠ.</w:t>
      </w:r>
    </w:p>
    <w:p w:rsidR="00A57BFD" w:rsidRDefault="005B0D19">
      <w:pPr>
        <w:pStyle w:val="Text1"/>
        <w:keepNext/>
        <w:pBdr>
          <w:top w:val="single" w:sz="4" w:space="1" w:color="auto"/>
          <w:left w:val="single" w:sz="4" w:space="4" w:color="auto"/>
          <w:bottom w:val="single" w:sz="4" w:space="1" w:color="auto"/>
          <w:right w:val="single" w:sz="4" w:space="4" w:color="auto"/>
        </w:pBdr>
        <w:rPr>
          <w:b/>
          <w:noProof/>
        </w:rPr>
      </w:pPr>
      <w:r>
        <w:rPr>
          <w:b/>
          <w:noProof/>
        </w:rPr>
        <w:t>Αξιολόγηση των επιδόσεων από την Επιτροπή</w:t>
      </w:r>
    </w:p>
    <w:p w:rsidR="00A57BFD" w:rsidRDefault="005B0D19">
      <w:pPr>
        <w:pStyle w:val="Text1"/>
        <w:pBdr>
          <w:top w:val="single" w:sz="4" w:space="1" w:color="auto"/>
          <w:left w:val="single" w:sz="4" w:space="4" w:color="auto"/>
          <w:bottom w:val="single" w:sz="4" w:space="1" w:color="auto"/>
          <w:right w:val="single" w:sz="4" w:space="4" w:color="auto"/>
        </w:pBdr>
        <w:rPr>
          <w:noProof/>
        </w:rPr>
      </w:pPr>
      <w:r>
        <w:rPr>
          <w:noProof/>
        </w:rPr>
        <w:t xml:space="preserve">Η Επιτροπή συντάσσει πολυετές σχέδιο αξιολόγησης της ΚΓΠ που θα πρέπει να διενεργηθεί υπό την ευθύνη της Επιτροπής. </w:t>
      </w:r>
    </w:p>
    <w:p w:rsidR="00A57BFD" w:rsidRDefault="005B0D19">
      <w:pPr>
        <w:pStyle w:val="Text1"/>
        <w:pBdr>
          <w:top w:val="single" w:sz="4" w:space="1" w:color="auto"/>
          <w:left w:val="single" w:sz="4" w:space="4" w:color="auto"/>
          <w:bottom w:val="single" w:sz="4" w:space="1" w:color="auto"/>
          <w:right w:val="single" w:sz="4" w:space="4" w:color="auto"/>
        </w:pBdr>
        <w:rPr>
          <w:noProof/>
        </w:rPr>
      </w:pPr>
      <w:r>
        <w:rPr>
          <w:noProof/>
        </w:rPr>
        <w:t>Η Επιτροπή διενεργεί ενδιάμεση αξιολόγηση για να εξετάσει την αποτελεσματικότητα, την αποδοτικότητα, τη συνάφεια, τη συνοχή και την ενωσιακή προστιθέμενη αξία των Ταμείων λαμβάνοντας υπόψη τους δείκτες που ορίζονται στο παράρτημα VII. Η Επιτροπή μπορεί να κάνει χρήση όλων των σχετικών πληροφοριών που έχει ήδη στη διάθεσή της σύμφωνα με το άρθρο 128 του δημοσιονομικού κανονισμού.</w:t>
      </w:r>
    </w:p>
    <w:p w:rsidR="00A57BFD" w:rsidRDefault="005B0D19">
      <w:pPr>
        <w:pStyle w:val="Text1"/>
        <w:pBdr>
          <w:top w:val="single" w:sz="4" w:space="1" w:color="auto"/>
          <w:left w:val="single" w:sz="4" w:space="4" w:color="auto"/>
          <w:bottom w:val="single" w:sz="4" w:space="1" w:color="auto"/>
          <w:right w:val="single" w:sz="4" w:space="4" w:color="auto"/>
        </w:pBdr>
        <w:rPr>
          <w:noProof/>
        </w:rPr>
      </w:pPr>
      <w:r>
        <w:rPr>
          <w:noProof/>
        </w:rPr>
        <w:t>Η Επιτροπή διενεργεί εκ των υστέρων αξιολόγηση για να εξετάσει την αποτελεσματικότητα, την αποδοτικότητα, τη συνάφεια, τη συνοχή και την ενωσιακή προστιθέμενη αξία των Ταμείων.</w:t>
      </w:r>
    </w:p>
    <w:p w:rsidR="00A57BFD" w:rsidRDefault="005B0D19">
      <w:pPr>
        <w:pStyle w:val="Text1"/>
        <w:pBdr>
          <w:top w:val="single" w:sz="4" w:space="1" w:color="auto"/>
          <w:left w:val="single" w:sz="4" w:space="4" w:color="auto"/>
          <w:bottom w:val="single" w:sz="4" w:space="1" w:color="auto"/>
          <w:right w:val="single" w:sz="4" w:space="4" w:color="auto"/>
        </w:pBdr>
        <w:rPr>
          <w:noProof/>
        </w:rPr>
      </w:pPr>
      <w:r>
        <w:rPr>
          <w:noProof/>
        </w:rPr>
        <w:t>Με βάση τα στοιχεία που περιέχονται στις αξιολογήσεις της ΚΓΠ, συμπεριλαμβανομένων των αξιολογήσεων των στρατηγικών σχεδίων της ΚΓΠ, καθώς και σε άλλες σχετικές πηγές πληροφοριών, η Επιτροπή υποβάλλει μια πρώτη έκθεση σχετικά με την εφαρμογή του παρόντος άρθρου, συμπεριλαμβανομένων των πρώτων αποτελεσμάτων όσον αφορά τις επιδόσεις της ΚΓΠ, στο Ευρωπαϊκό Κοινοβούλιο και το Συμβούλιο έως την 31η Δεκεμβρίου 2025. Μια δεύτερη έκθεση, που θα περιλαμβάνει εκτίμηση της απόδοσης της ΚΓΠ, υποβάλλεται έως την 31η Δεκεμβρίου 2031.</w:t>
      </w:r>
    </w:p>
    <w:p w:rsidR="00A57BFD" w:rsidRDefault="005B0D19">
      <w:pPr>
        <w:pStyle w:val="Text1"/>
        <w:pBdr>
          <w:top w:val="single" w:sz="4" w:space="1" w:color="auto"/>
          <w:left w:val="single" w:sz="4" w:space="4" w:color="auto"/>
          <w:bottom w:val="single" w:sz="4" w:space="1" w:color="auto"/>
          <w:right w:val="single" w:sz="4" w:space="4" w:color="auto"/>
        </w:pBdr>
        <w:rPr>
          <w:b/>
          <w:noProof/>
        </w:rPr>
      </w:pPr>
      <w:r>
        <w:rPr>
          <w:b/>
          <w:noProof/>
        </w:rPr>
        <w:t>Υποβολή εκθέσεων με βάση ένα σύνολο βασικών δεικτών</w:t>
      </w:r>
    </w:p>
    <w:p w:rsidR="00A57BFD" w:rsidRDefault="005B0D19">
      <w:pPr>
        <w:pStyle w:val="Text1"/>
        <w:pBdr>
          <w:top w:val="single" w:sz="4" w:space="1" w:color="auto"/>
          <w:left w:val="single" w:sz="4" w:space="4" w:color="auto"/>
          <w:bottom w:val="single" w:sz="4" w:space="1" w:color="auto"/>
          <w:right w:val="single" w:sz="4" w:space="4" w:color="auto"/>
        </w:pBdr>
        <w:rPr>
          <w:noProof/>
        </w:rPr>
      </w:pPr>
      <w:r>
        <w:rPr>
          <w:noProof/>
        </w:rPr>
        <w:t>Οι πληροφορίες που παρέχουν τα κράτη μέλη αποτελούν τη βάση επί της οποίας η Επιτροπή υποβάλλει έκθεση σχετικά με την πρόοδο προς την κατεύθυνση της επίτευξης των ειδικών στόχων καθ’ όλη τη διάρκεια της περιόδου προγραμματισμού χρησιμοποιώντας προς τον σκοπό αυτό ένα σύνολο βασικών δεικτών.</w:t>
      </w:r>
    </w:p>
    <w:p w:rsidR="00A57BFD" w:rsidRDefault="005B0D19">
      <w:pPr>
        <w:pStyle w:val="Text1"/>
        <w:pBdr>
          <w:top w:val="single" w:sz="4" w:space="1" w:color="auto"/>
          <w:left w:val="single" w:sz="4" w:space="4" w:color="auto"/>
          <w:bottom w:val="single" w:sz="4" w:space="1" w:color="auto"/>
          <w:right w:val="single" w:sz="4" w:space="4" w:color="auto"/>
        </w:pBdr>
        <w:rPr>
          <w:noProof/>
        </w:rPr>
      </w:pPr>
      <w:r>
        <w:rPr>
          <w:noProof/>
        </w:rPr>
        <w:t xml:space="preserve">Σε συμμόρφωση με την υποχρέωση υποβολής εκθέσεων που υπέχει δυνάμει του άρθρου 38 παράγραφος 3 στοιχείο ε) σημείο i) του δημοσιονομικού κανονισμού, η Επιτροπή υποβάλλει στο Ευρωπαϊκό Κοινοβούλιο και το Συμβούλιο τις πληροφορίες σχετικά με τις επιδόσεις που αναφέρονται στο εν λόγω άρθρο οι οποίες μετρώνται με βάση το βασικό σύνολο δεικτών. </w:t>
      </w:r>
    </w:p>
    <w:p w:rsidR="00A57BFD" w:rsidRDefault="005B0D19">
      <w:pPr>
        <w:pStyle w:val="ManualHeading2"/>
        <w:rPr>
          <w:bCs/>
          <w:noProof/>
          <w:szCs w:val="24"/>
        </w:rPr>
      </w:pPr>
      <w:r>
        <w:t>2.2.</w:t>
      </w:r>
      <w:r>
        <w:tab/>
      </w:r>
      <w:r>
        <w:rPr>
          <w:noProof/>
        </w:rPr>
        <w:t xml:space="preserve">Σύστημα διαχείρισης και ελέγχου </w:t>
      </w:r>
    </w:p>
    <w:p w:rsidR="00A57BFD" w:rsidRDefault="005B0D19">
      <w:pPr>
        <w:pStyle w:val="ManualHeading3"/>
        <w:rPr>
          <w:noProof/>
        </w:rPr>
      </w:pPr>
      <w:r>
        <w:t>2.2.1.</w:t>
      </w:r>
      <w:r>
        <w:tab/>
      </w:r>
      <w:r>
        <w:rPr>
          <w:noProof/>
        </w:rPr>
        <w:t>Αιτιολόγηση των τρόπων διαχείρισης, των μηχανισμών εκτέλεσης της χρηματοδότησης, των όρων πληρωμής και της προτεινόμενης στρατηγικής ελέγχου</w:t>
      </w:r>
    </w:p>
    <w:p w:rsidR="00A57BFD" w:rsidRDefault="005B0D19">
      <w:pPr>
        <w:pStyle w:val="Text1"/>
        <w:pBdr>
          <w:top w:val="single" w:sz="4" w:space="1" w:color="auto"/>
          <w:left w:val="single" w:sz="4" w:space="4" w:color="auto"/>
          <w:bottom w:val="single" w:sz="4" w:space="1" w:color="auto"/>
          <w:right w:val="single" w:sz="4" w:space="4" w:color="auto"/>
        </w:pBdr>
        <w:rPr>
          <w:noProof/>
        </w:rPr>
      </w:pPr>
      <w:r>
        <w:rPr>
          <w:noProof/>
        </w:rPr>
        <w:t xml:space="preserve">Η ΚΓΠ εφαρμόζεται κυρίως σε επιμερισμένη διαχείριση με τα κράτη μέλη. Τα υφιστάμενα όργανα διακυβέρνησης στα κράτη μέλη, ιδίως οι οργανισμοί πληρωμών και οι οργανισμοί πιστοποίησης, έχουν αποδείξει την αποτελεσματικότητά τους στην </w:t>
      </w:r>
      <w:r>
        <w:rPr>
          <w:noProof/>
        </w:rPr>
        <w:lastRenderedPageBreak/>
        <w:t>προστασία του προϋπολογισμού της ΕΕ και την εξασφάλιση χρηστής δημοσιονομικής διαχείρισης. Το σταθερά χαμηλά επίπεδα των ποσοστών σφάλματος στο πλαίσιο της ΚΓΠ τα τελευταία έτη δείχνουν ότι τα συστήματα διαχείρισης και ελέγχου που έχουν θεσπίσει τα κράτη μέλη λειτουργούν σωστά και παρέχουν εύλογη βεβαιότητα.</w:t>
      </w:r>
    </w:p>
    <w:p w:rsidR="00A57BFD" w:rsidRDefault="005B0D19">
      <w:pPr>
        <w:pStyle w:val="Text1"/>
        <w:pBdr>
          <w:top w:val="single" w:sz="4" w:space="1" w:color="auto"/>
          <w:left w:val="single" w:sz="4" w:space="4" w:color="auto"/>
          <w:bottom w:val="single" w:sz="4" w:space="1" w:color="auto"/>
          <w:right w:val="single" w:sz="4" w:space="4" w:color="auto"/>
        </w:pBdr>
        <w:rPr>
          <w:noProof/>
        </w:rPr>
      </w:pPr>
      <w:r>
        <w:rPr>
          <w:noProof/>
        </w:rPr>
        <w:t>Το νέο μοντέλο υλοποίησης στο πλαίσιο της ΚΓΠ αναγνωρίζει αυτήν την κατάσταση παρέχοντας περισσότερη επικουρικότητα στα κράτη μέλη όσον αφορά τη θέσπιση και τη διαχείριση των εθνικών συστημάτων ελέγχου, στο πλαίσιο μιας γενικότερης δέσμης κανόνων σε επίπεδο Ένωσης. Επιπλέον, σύμφωνα με τη στρατηγική για έναν προϋπολογισμό ο οποίος θα εστιάζεται στα αποτελέσματα και για πληρωμές προσανατολισμένες στις επιδόσεις, η ΚΓΠ θα συνδέει την επιλεξιμότητα των πληρωμών με την πραγματική επίτευξη απτών αποτελεσμάτων επί τόπου. Οι επιδόσεις βρίσκονται, συνεπώς, στο επίκεντρο της δημοσιονομικής διαχείρισης και του μοντέλου διασφάλισης στις νομοθετικές προτάσεις για την ΚΓΠ μετά το 2020.</w:t>
      </w:r>
    </w:p>
    <w:p w:rsidR="00A57BFD" w:rsidRDefault="005B0D19">
      <w:pPr>
        <w:pStyle w:val="Text1"/>
        <w:pBdr>
          <w:top w:val="single" w:sz="4" w:space="1" w:color="auto"/>
          <w:left w:val="single" w:sz="4" w:space="4" w:color="auto"/>
          <w:bottom w:val="single" w:sz="4" w:space="1" w:color="auto"/>
          <w:right w:val="single" w:sz="4" w:space="4" w:color="auto"/>
        </w:pBdr>
        <w:rPr>
          <w:noProof/>
        </w:rPr>
      </w:pPr>
      <w:r>
        <w:rPr>
          <w:noProof/>
        </w:rPr>
        <w:t xml:space="preserve">Η στρατηγική ελέγχου για τη νέα περίοδο θα είναι απόλυτα ευθυγραμμισμένη με την «προσέγγιση ενιαίου ελέγχου», διασφαλίζοντας ότι οι διαπιστευμένοι οργανισμοί πληρωμών και οι οργανισμοί πιστοποίησης παρέχουν την αναγκαία βεβαιότητα. Η Επιτροπή θα δώσει ιδιαίτερη προσοχή στην αποτελεσματική λειτουργία των υφιστάμενων συστημάτων διακυβέρνησης και στην αξιοπιστία των εκθέσεων σχετικά με τις επιδόσεις. Όπως γίνεται επί του παρόντος, στην αρχή της περιόδου καταρτίζεται μια στρατηγική ελέγχου και ένα πολυετές πρόγραμμα εργασίας.  </w:t>
      </w:r>
    </w:p>
    <w:p w:rsidR="00A57BFD" w:rsidRDefault="005B0D19">
      <w:pPr>
        <w:pStyle w:val="Text1"/>
        <w:pBdr>
          <w:top w:val="single" w:sz="4" w:space="1" w:color="auto"/>
          <w:left w:val="single" w:sz="4" w:space="4" w:color="auto"/>
          <w:bottom w:val="single" w:sz="4" w:space="1" w:color="auto"/>
          <w:right w:val="single" w:sz="4" w:space="4" w:color="auto"/>
        </w:pBdr>
      </w:pPr>
      <w:r>
        <w:rPr>
          <w:noProof/>
        </w:rPr>
        <w:t>Συνοψίζοντας, η Επιτροπή θα μεριμνά για την αποτελεσματική λειτουργία των συστημάτων διακυβέρνησης που θεσπίστηκαν στα κράτη μέλη, θα επιστρέφει τις πληρωμές που πραγματοποιούνται από τους εγκεκριμένους οργανισμούς πληρωμών και θα διενεργεί την ετήσια εκκαθάριση επιδόσεων στην οποία θα αξιολογεί τις εκροές που επιτεύχθηκαν όπως αναφέρονται στις εκθέσεις των κρατών μελών.</w:t>
      </w:r>
    </w:p>
    <w:p w:rsidR="00A57BFD" w:rsidRDefault="005B0D19">
      <w:pPr>
        <w:pStyle w:val="ManualHeading3"/>
        <w:rPr>
          <w:noProof/>
        </w:rPr>
      </w:pPr>
      <w:r>
        <w:t>2.2.2.</w:t>
      </w:r>
      <w:r>
        <w:tab/>
      </w:r>
      <w:r>
        <w:rPr>
          <w:noProof/>
        </w:rPr>
        <w:t>Πληροφορίες σχετικά με τους κινδύνους που έχουν εντοπιστεί και τα συστήματα εσωτερικού ελέγχου που έχουν δημιουργηθεί για τον μετριασμό τους</w:t>
      </w:r>
    </w:p>
    <w:p w:rsidR="00A57BFD" w:rsidRDefault="005B0D19">
      <w:pPr>
        <w:pStyle w:val="Text1"/>
        <w:pBdr>
          <w:top w:val="single" w:sz="4" w:space="1" w:color="auto"/>
          <w:left w:val="single" w:sz="4" w:space="4" w:color="auto"/>
          <w:bottom w:val="single" w:sz="4" w:space="9" w:color="auto"/>
          <w:right w:val="single" w:sz="4" w:space="4" w:color="auto"/>
        </w:pBdr>
        <w:rPr>
          <w:noProof/>
        </w:rPr>
      </w:pPr>
      <w:r>
        <w:rPr>
          <w:noProof/>
        </w:rPr>
        <w:t>Υπάρχουν περισσότεροι από επτά εκατομμύρια δικαιούχοι της ΚΓΠ, οι οποίοι λαμβάνουν στήριξη στο πλαίσιο ενός ευρέος φάσματος διαφόρων καθεστώτων ενίσχυσης. Η πτωτική τάση που παρατηρείται στα ποσοστά σφάλματος στον τομέα της κοινής γεωργικής πολιτικής δείχνει ότι τα συστήματα διαχείρισης και ελέγχου των οργανισμών πληρωμών είναι άρτια και αξιόπιστα.</w:t>
      </w:r>
    </w:p>
    <w:p w:rsidR="00A57BFD" w:rsidRDefault="005B0D19">
      <w:pPr>
        <w:pStyle w:val="Text1"/>
        <w:pBdr>
          <w:top w:val="single" w:sz="4" w:space="1" w:color="auto"/>
          <w:left w:val="single" w:sz="4" w:space="4" w:color="auto"/>
          <w:bottom w:val="single" w:sz="4" w:space="9" w:color="auto"/>
          <w:right w:val="single" w:sz="4" w:space="4" w:color="auto"/>
        </w:pBdr>
        <w:rPr>
          <w:noProof/>
        </w:rPr>
      </w:pPr>
      <w:r>
        <w:rPr>
          <w:noProof/>
        </w:rPr>
        <w:t xml:space="preserve">Η υλοποίηση της ΚΓΠ γίνεται μέχρι σήμερα μέσω λεπτομερών κανόνων επιλεξιμότητας στο επίπεδο του δικαιούχου, γεγονός το οποίο επέτεινε την πολυπλοκότητα, τον διοικητικό φόρτο και τον κίνδυνο σφάλματος. Το κόστος του συστήματος διαχείρισης και ελέγχου, προκειμένου να μετριαστεί ο κίνδυνος αυτός, έχει κριθεί κάπως δυσανάλογο.  </w:t>
      </w:r>
    </w:p>
    <w:p w:rsidR="00A57BFD" w:rsidRDefault="005B0D19">
      <w:pPr>
        <w:pStyle w:val="Text1"/>
        <w:pBdr>
          <w:top w:val="single" w:sz="4" w:space="1" w:color="auto"/>
          <w:left w:val="single" w:sz="4" w:space="4" w:color="auto"/>
          <w:bottom w:val="single" w:sz="4" w:space="9" w:color="auto"/>
          <w:right w:val="single" w:sz="4" w:space="4" w:color="auto"/>
        </w:pBdr>
        <w:rPr>
          <w:noProof/>
        </w:rPr>
      </w:pPr>
      <w:r>
        <w:rPr>
          <w:noProof/>
        </w:rPr>
        <w:t xml:space="preserve">Η δέσμη νομοθετικών μέτρων για τη μεταρρύθμιση της ΚΓΠ πέραν του 2020 μειώνει σημαντικά το στοιχείο της συμμόρφωσης, δίνοντας περισσότερη έμφαση στις επιδόσεις. Οι υποχρεώσεις που απορρέουν από τους κανόνες της ΕΕ πρέπει να εκπληρώνονται από τα κράτη μέλη, τα οποία θα πρέπει τότε να θέτουν σε εφαρμογή το κατάλληλο σύστημα διαχείρισης και ελέγχου. Τα κράτη μέλη θα έχουν μεγαλύτερη ευελιξία να σχεδιάζουν τα καθεστώτα και μέτρα που ταιριάζουν καλύτερα στις συγκεκριμένες συνθήκες τους. Ως εκ τούτου, η χρηματοδότηση της ΚΓΠ θα εξαρτάται από τη στρατηγική υλοποίηση της πολιτικής για την επίτευξη </w:t>
      </w:r>
      <w:r>
        <w:rPr>
          <w:noProof/>
        </w:rPr>
        <w:lastRenderedPageBreak/>
        <w:t>κοινών στόχων που ορίζονται σε επίπεδο ΕΕ. Το σχέδιο της ΚΓΠ θα είναι η συμφωνία μεταξύ των κρατών μελών και της Επιτροπής, βάσει της οποίας καθορίζονται και εγκρίνονται η στρατηγική για 7 έτη, οι στόχοι, οι παρεμβάσεις και οι προγραμματισμένες δαπάνες.</w:t>
      </w:r>
    </w:p>
    <w:p w:rsidR="00A57BFD" w:rsidRDefault="005B0D19">
      <w:pPr>
        <w:pStyle w:val="Text1"/>
        <w:pBdr>
          <w:top w:val="single" w:sz="4" w:space="1" w:color="auto"/>
          <w:left w:val="single" w:sz="4" w:space="4" w:color="auto"/>
          <w:bottom w:val="single" w:sz="4" w:space="9" w:color="auto"/>
          <w:right w:val="single" w:sz="4" w:space="4" w:color="auto"/>
        </w:pBdr>
        <w:rPr>
          <w:noProof/>
        </w:rPr>
      </w:pPr>
      <w:r>
        <w:rPr>
          <w:noProof/>
        </w:rPr>
        <w:t>Η πρόταση κανονισμού σχετικά με τη χρηματοδότηση, τη διαχείριση και την παρακολούθηση της κοινής γεωργικής πολιτικής προσαρμόζει το ισχύον σύστημα στο νέο αυτό μοντέλο υλοποίησης, με παράλληλη διατήρηση εκείνων των οργάνων διακυβέρνησης που λειτουργούν καλά (οργανισμοί πληρωμών και οργανισμοί πιστοποίησης). Όπως συμβαίνει επί του παρόντος, κάθε έτος ο επικεφαλής κάθε οργανισμού πληρωμών οφείλει να υποβάλλει δήλωση η οποία καλύπτει την πληρότητα, την ακρίβεια και την αξιοπιστία των λογαριασμών, την ορθή λειτουργία των δομών διακυβέρνησης, συμπεριλαμβανομένης της τήρησης των βασικών απαιτήσεων της ΕΕ, καθώς και την αξιοπιστία των εκθέσεων σχετικά με τις επιδόσεις. Ένας ανεξάρτητος ελεγκτικός φορέας (οργανισμός πιστοποίησης) καλείται να εκφέρει γνώμη σχετικά με τα στοιχεία αυτά.</w:t>
      </w:r>
    </w:p>
    <w:p w:rsidR="00A57BFD" w:rsidRDefault="005B0D19">
      <w:pPr>
        <w:pStyle w:val="Text1"/>
        <w:pBdr>
          <w:top w:val="single" w:sz="4" w:space="1" w:color="auto"/>
          <w:left w:val="single" w:sz="4" w:space="4" w:color="auto"/>
          <w:bottom w:val="single" w:sz="4" w:space="9" w:color="auto"/>
          <w:right w:val="single" w:sz="4" w:space="4" w:color="auto"/>
        </w:pBdr>
        <w:rPr>
          <w:noProof/>
        </w:rPr>
      </w:pPr>
      <w:r>
        <w:rPr>
          <w:noProof/>
        </w:rPr>
        <w:t xml:space="preserve">Οι δαπάνες θα μειώνονται εάν το κράτος μέλος δεν έχει επιτύχει εκροές σύμφωνα με τα συμφωνηθέντα πρότυπα. Οι έλεγχοι συμμόρφωσης θα εξακολουθήσουν να διενεργούνται προκειμένου να αξιολογείται η λειτουργία των δομών διακυβέρνησης. Η Επιτροπή θα εξακολουθήσει να ελέγχει τις γεωργικές δαπάνες, ακολουθώντας προσέγγιση βασιζόμενη στην ανάλυση του κινδύνου ώστε να εξασφαλίζεται ότι οι έλεγχοι επικεντρώνονται στους τομείς που ενέχουν τον υψηλότερο κίνδυνο, σύμφωνα με την «αρχή του ενιαίου ελέγχου». Επιπλέον, υπάρχουν σαφείς μηχανισμοί για αναστολή των πληρωμών σε περίπτωση που διαπιστωθούν σοβαρές αδυναμίες στις δομές διακυβέρνησης ή σημαντικές τάσεις ανεπαρκών επιδόσεων. </w:t>
      </w:r>
    </w:p>
    <w:p w:rsidR="00A57BFD" w:rsidRDefault="005B0D19">
      <w:pPr>
        <w:pStyle w:val="Text1"/>
        <w:pBdr>
          <w:top w:val="single" w:sz="4" w:space="1" w:color="auto"/>
          <w:left w:val="single" w:sz="4" w:space="4" w:color="auto"/>
          <w:bottom w:val="single" w:sz="4" w:space="9" w:color="auto"/>
          <w:right w:val="single" w:sz="4" w:space="4" w:color="auto"/>
        </w:pBdr>
        <w:rPr>
          <w:noProof/>
        </w:rPr>
      </w:pPr>
      <w:r>
        <w:rPr>
          <w:noProof/>
        </w:rPr>
        <w:t xml:space="preserve">Ο κύριος κίνδυνος που διαβλέπεται για τη νέα περίοδο είναι ότι οι συγκεκριμένοι και λεπτομερείς κανόνες σχετικά με τον τρόπο με τον οποίο θα πρέπει να θεσπίζεται στο επίπεδο των οργανισμών πληρωμών το σύστημα διαχείρισης και ελέγχου σε ένα κράτος μέλος μπορεί μεν να προσφέρουν ανακούφιση, αλλά ενδέχεται να πλήξουν τη φήμη της Επιτροπής σε περίπτωση μη τήρησης των κανόνων επιλεξιμότητας που έχουν καθοριστεί από το εν λόγω κράτος μέλος. Υπογραμμίζεται ότι η Επιτροπή θα μεριμνήσει για τη δημιουργία συστημάτων διακυβέρνησης, καθώς και για την επίτευξη εκροών και αποτελεσμάτων. Στο πνεύμα της στρατηγικής για έναν προϋπολογισμό που θα εστιάζεται στα αποτελέσματα, η Επιτροπή θα δώσει το βάρος στα αποτελέσματα που επιτυγχάνει η πολιτική. </w:t>
      </w:r>
    </w:p>
    <w:p w:rsidR="00A57BFD" w:rsidRDefault="005B0D19">
      <w:pPr>
        <w:pStyle w:val="ManualHeading3"/>
        <w:rPr>
          <w:noProof/>
        </w:rPr>
      </w:pPr>
      <w:r>
        <w:t>2.2.3.</w:t>
      </w:r>
      <w:r>
        <w:tab/>
      </w:r>
      <w:r>
        <w:rPr>
          <w:noProof/>
        </w:rPr>
        <w:t xml:space="preserve">Εκτίμηση και αιτιολόγηση της οικονομικής αποδοτικότητας των ελέγχων (λόγος του κόστους του ελέγχου ÷ της αξίας των σχετικών κονδυλίων που αποτελούν αντικείμενο διαχείρισης) και αξιολόγηση του εκτιμώμενου επιπέδου κινδύνου σφάλματος (κατά την πληρωμή και κατά το κλείσιμο) </w:t>
      </w:r>
    </w:p>
    <w:p w:rsidR="00A57BFD" w:rsidRDefault="005B0D19">
      <w:pPr>
        <w:pStyle w:val="Text1"/>
        <w:pBdr>
          <w:top w:val="single" w:sz="4" w:space="1" w:color="auto"/>
          <w:left w:val="single" w:sz="4" w:space="4" w:color="auto"/>
          <w:bottom w:val="single" w:sz="4" w:space="1" w:color="auto"/>
          <w:right w:val="single" w:sz="4" w:space="4" w:color="auto"/>
        </w:pBdr>
        <w:rPr>
          <w:noProof/>
        </w:rPr>
      </w:pPr>
      <w:r>
        <w:rPr>
          <w:noProof/>
        </w:rPr>
        <w:t>Το νέο μοντέλο υλοποίησης για την ΚΓΠ αναμένεται να μειώσει σημαντικά το κόστος των ελέγχων, τόσο για τα κράτη μέλη όσο και για τους δικαιούχους.</w:t>
      </w:r>
    </w:p>
    <w:p w:rsidR="00A57BFD" w:rsidRDefault="005B0D19">
      <w:pPr>
        <w:pStyle w:val="Text1"/>
        <w:pBdr>
          <w:top w:val="single" w:sz="4" w:space="1" w:color="auto"/>
          <w:left w:val="single" w:sz="4" w:space="4" w:color="auto"/>
          <w:bottom w:val="single" w:sz="4" w:space="1" w:color="auto"/>
          <w:right w:val="single" w:sz="4" w:space="4" w:color="auto"/>
        </w:pBdr>
        <w:rPr>
          <w:noProof/>
        </w:rPr>
      </w:pPr>
      <w:r>
        <w:rPr>
          <w:noProof/>
        </w:rPr>
        <w:t xml:space="preserve">Οι απαιτήσεις σε επίπεδο ΕΕ έχουν μειωθεί σημαντικά και έχουν καθοριστεί στο επίπεδο των κρατών μελών, τα οποία θα πρέπει να αξιοποιήσουν αυτήν την ευκαιρία για να προσαρμόσουν στις συγκεκριμένες εθνικές ή περιφερειακές τους συνθήκες τις υποχρεώσεις που πρέπει να τηρούν οι δικαιούχοι. </w:t>
      </w:r>
    </w:p>
    <w:p w:rsidR="00A57BFD" w:rsidRDefault="005B0D19">
      <w:pPr>
        <w:pStyle w:val="Text1"/>
        <w:pBdr>
          <w:top w:val="single" w:sz="4" w:space="1" w:color="auto"/>
          <w:left w:val="single" w:sz="4" w:space="4" w:color="auto"/>
          <w:bottom w:val="single" w:sz="4" w:space="1" w:color="auto"/>
          <w:right w:val="single" w:sz="4" w:space="4" w:color="auto"/>
        </w:pBdr>
        <w:rPr>
          <w:noProof/>
        </w:rPr>
      </w:pPr>
      <w:r>
        <w:rPr>
          <w:noProof/>
        </w:rPr>
        <w:t xml:space="preserve">Τα κράτη μέλη θα καθορίζουν το σύστημα διαχείρισης και ελέγχου εντός του απλουστευμένου πλαισίου της ΕΕ που καθορίζεται στις νομοθετικές προτάσεις. Το Ολοκληρωμένο Σύστημα Διαχείρισης και Ελέγχου (ΟΣΔΕ), το οποίο </w:t>
      </w:r>
      <w:r>
        <w:rPr>
          <w:noProof/>
        </w:rPr>
        <w:lastRenderedPageBreak/>
        <w:t xml:space="preserve">αντιπροσωπεύει περίπου το 88 % των ενισχύσεων της ΚΓΠ, διατηρείται, αν και συγκεκριμένα στοιχεία του, που μέχρι τώρα καθορίζονταν σε επίπεδο ΕΕ, θα αφεθούν στη διακριτική ευχέρεια των κρατών μελών. Ως εκ τούτου, η ένταση και το πεδίο εφαρμογής των ελέγχων, που είναι ο κύριος παράγοντας κόστους, δεν θα καθορίζονται πλέον σε επίπεδο ΕΕ. </w:t>
      </w:r>
    </w:p>
    <w:p w:rsidR="00A57BFD" w:rsidRDefault="005B0D19">
      <w:pPr>
        <w:pStyle w:val="Text1"/>
        <w:pBdr>
          <w:top w:val="single" w:sz="4" w:space="1" w:color="auto"/>
          <w:left w:val="single" w:sz="4" w:space="4" w:color="auto"/>
          <w:bottom w:val="single" w:sz="4" w:space="1" w:color="auto"/>
          <w:right w:val="single" w:sz="4" w:space="4" w:color="auto"/>
        </w:pBdr>
        <w:rPr>
          <w:noProof/>
        </w:rPr>
      </w:pPr>
      <w:r>
        <w:rPr>
          <w:noProof/>
        </w:rPr>
        <w:t xml:space="preserve">Η εστίαση στις επιδόσεις απαιτεί ένα ισχυρό και αξιόπιστο σύστημα υποβολής εκθέσεων, το οποίο, όπως αναφέρθηκε στα προηγούμενα τμήματα, θα υπόκειται σε ανεξάρτητους ελέγχους. Δεν αναμένεται όμως αυτό να έχει σημαντικό αντίκτυπο στη διοικητική επιβάρυνση των κρατών μελών, δεδομένου ότι οι περισσότεροι από τους δείκτες εκροών είναι ήδη διαθέσιμοι στους διαπιστευμένους οργανισμούς πληρωμών. </w:t>
      </w:r>
    </w:p>
    <w:p w:rsidR="00A57BFD" w:rsidRDefault="005B0D19">
      <w:pPr>
        <w:pStyle w:val="Text1"/>
        <w:pBdr>
          <w:top w:val="single" w:sz="4" w:space="1" w:color="auto"/>
          <w:left w:val="single" w:sz="4" w:space="4" w:color="auto"/>
          <w:bottom w:val="single" w:sz="4" w:space="1" w:color="auto"/>
          <w:right w:val="single" w:sz="4" w:space="4" w:color="auto"/>
        </w:pBdr>
        <w:rPr>
          <w:noProof/>
        </w:rPr>
      </w:pPr>
      <w:r>
        <w:rPr>
          <w:noProof/>
        </w:rPr>
        <w:t xml:space="preserve">Τα κράτη μέλη έχουν τη δυνατότητα να απλουστεύσουν και να μειώσουν τον διοικητικό φόρτο που συνδέεται με τη διαχείριση και τον έλεγχο της ΚΓΠ, δεδομένου ότι θα είναι σε θέση να προσαρμόζουν τους κανόνες επιλεξιμότητας σε επίπεδο δικαιούχου και να αποφασίζουν τον πλέον κατάλληλο τρόπο ελέγχου (δεν θα υπάρχει πλέον μία μόνο προσέγγιση για όλες τις περιπτώσεις). Όπως αναφέρεται στην εκτίμηση επιπτώσεων που συνοδεύει τις νομοθετικές προτάσεις της ΚΓΠ, στο κεφάλαιο σχετικά με την απλούστευση, το κόστος υλοποίησης για τη νέα ΚΓΠ δεν αναμένεται να είναι υψηλότερο (σήμερα είναι 3,6 %), ακόμη και αν ληφθεί υπόψη η αυξημένη έμφαση που δίνεται στην υποβολή εκθέσεων σχετικά με τις επιδόσεις. </w:t>
      </w:r>
    </w:p>
    <w:p w:rsidR="00A57BFD" w:rsidRDefault="005B0D19">
      <w:pPr>
        <w:pStyle w:val="Text1"/>
        <w:pBdr>
          <w:top w:val="single" w:sz="4" w:space="1" w:color="auto"/>
          <w:left w:val="single" w:sz="4" w:space="4" w:color="auto"/>
          <w:bottom w:val="single" w:sz="4" w:space="1" w:color="auto"/>
          <w:right w:val="single" w:sz="4" w:space="4" w:color="auto"/>
        </w:pBdr>
        <w:rPr>
          <w:noProof/>
        </w:rPr>
      </w:pPr>
      <w:r>
        <w:rPr>
          <w:noProof/>
        </w:rPr>
        <w:t xml:space="preserve">Όσον αφορά το αναμενόμενο επίπεδο σφαλμάτων, σύμφωνα με το νέο μοντέλο υλοποίησης, αξιολογείται η επιλεξιμότητα των δαπανών με κριτήριο τις εκροές που επιτυγχάνονται. Ως εκ τούτου, τα σφάλματα δεν θα υπολογίζονται σε σχέση με τη νομιμότητα και κανονικότητα των επιμέρους πράξεων, αλλά στο επίπεδο των εκροών που επιτεύχθηκαν σε σχέση με τις δαπάνες που επιστράφηκαν. Οι δαπάνες που δεν έχουν αντίστοιχες εκροές θα μειωθούν στο πλαίσιο της ετήσιας εκκαθάρισης επιδόσεων, ώστε να εξακολουθήσει να προστατεύεται ο προϋπολογισμός της ΕΕ. </w:t>
      </w:r>
    </w:p>
    <w:p w:rsidR="00A57BFD" w:rsidRDefault="005B0D19">
      <w:pPr>
        <w:pStyle w:val="ManualHeading2"/>
        <w:rPr>
          <w:bCs/>
          <w:noProof/>
          <w:szCs w:val="24"/>
        </w:rPr>
      </w:pPr>
      <w:r>
        <w:t>2.3.</w:t>
      </w:r>
      <w:r>
        <w:tab/>
      </w:r>
      <w:r>
        <w:rPr>
          <w:noProof/>
        </w:rPr>
        <w:t xml:space="preserve">Μέτρα για την πρόληψη περιπτώσεων απάτης και παρατυπίας </w:t>
      </w:r>
    </w:p>
    <w:p w:rsidR="00A57BFD" w:rsidRDefault="005B0D19">
      <w:pPr>
        <w:pStyle w:val="Text1"/>
        <w:rPr>
          <w:i/>
          <w:noProof/>
          <w:sz w:val="20"/>
        </w:rPr>
      </w:pPr>
      <w:r>
        <w:rPr>
          <w:i/>
          <w:noProof/>
          <w:sz w:val="20"/>
        </w:rPr>
        <w:t>Να προσδιοριστούν τα ισχύοντα ή τα προβλεπόμενα μέτρα πρόληψης και προστασίας, π.χ. στη στρατηγική για την καταπολέμηση της απάτης.</w:t>
      </w:r>
    </w:p>
    <w:p w:rsidR="00A57BFD" w:rsidRDefault="005B0D19">
      <w:pPr>
        <w:pStyle w:val="Text1"/>
        <w:pBdr>
          <w:top w:val="single" w:sz="4" w:space="1" w:color="auto"/>
          <w:left w:val="single" w:sz="4" w:space="4" w:color="auto"/>
          <w:bottom w:val="single" w:sz="4" w:space="1" w:color="auto"/>
          <w:right w:val="single" w:sz="4" w:space="4" w:color="auto"/>
        </w:pBdr>
        <w:rPr>
          <w:noProof/>
        </w:rPr>
      </w:pPr>
      <w:r>
        <w:rPr>
          <w:noProof/>
        </w:rPr>
        <w:t xml:space="preserve">Η νομοθετική δέσμη προβλέπει ότι τα κράτη μέλη εξασφαλίζουν αποτελεσματική προληπτική προστασία κατά της απάτης, ιδίως όσον αφορά τους τομείς με υψηλότερο επίπεδο κινδύνου, μέσω της πρόληψης, του εντοπισμού και της διόρθωσης παρατυπιών και κρουσμάτων απάτης. Τα κράτη μέλη πρέπει να επιβάλλουν αποτελεσματικές, αποτρεπτικές και αναλογικές κυρώσεις, όπως ορίζεται στην ενωσιακή νομοθεσία ή στο εθνικό δίκαιο, και να ανακτούν τις τυχόν παράτυπες πληρωμές συν τους τόκους. </w:t>
      </w:r>
    </w:p>
    <w:p w:rsidR="00A57BFD" w:rsidRDefault="005B0D19">
      <w:pPr>
        <w:pStyle w:val="Text1"/>
        <w:pBdr>
          <w:top w:val="single" w:sz="4" w:space="1" w:color="auto"/>
          <w:left w:val="single" w:sz="4" w:space="4" w:color="auto"/>
          <w:bottom w:val="single" w:sz="4" w:space="1" w:color="auto"/>
          <w:right w:val="single" w:sz="4" w:space="4" w:color="auto"/>
        </w:pBdr>
        <w:rPr>
          <w:noProof/>
        </w:rPr>
      </w:pPr>
      <w:r>
        <w:rPr>
          <w:noProof/>
        </w:rPr>
        <w:t xml:space="preserve">Οι εν λόγω βασικές απαιτήσεις της ΕΕ αποτελούν μέρος των δομών διακυβέρνησης που θα ελέγχονται από τους οργανισμούς πιστοποίησης σύμφωνα με μια προσέγγιση βάσει κινδύνου, καθώς επίσης και από την Επιτροπή βάσει της αρχής του ενιαίου ελέγχου. </w:t>
      </w:r>
    </w:p>
    <w:p w:rsidR="00A57BFD" w:rsidRDefault="005B0D19">
      <w:pPr>
        <w:pStyle w:val="Text1"/>
        <w:pBdr>
          <w:top w:val="single" w:sz="4" w:space="1" w:color="auto"/>
          <w:left w:val="single" w:sz="4" w:space="4" w:color="auto"/>
          <w:bottom w:val="single" w:sz="4" w:space="1" w:color="auto"/>
          <w:right w:val="single" w:sz="4" w:space="4" w:color="auto"/>
        </w:pBdr>
        <w:rPr>
          <w:noProof/>
        </w:rPr>
      </w:pPr>
      <w:r>
        <w:rPr>
          <w:noProof/>
        </w:rPr>
        <w:t>Οι λεπτομέρειες θα εξεταστούν, κατά περίπτωση, στην αναθεωρημένη στρατηγική της ΓΔ Γεωργίας για την καταπολέμηση της απάτης. Ωστόσο, δεν αναμένεται να αλλάξει σημαντικά στο μέλλον η τυπολογία της απάτης και άλλων σοβαρών παρατυπιών, σε σύγκριση με την υφιστάμενη κατάσταση.</w:t>
      </w:r>
    </w:p>
    <w:p w:rsidR="00A57BFD" w:rsidRDefault="005B0D19">
      <w:pPr>
        <w:pStyle w:val="Text1"/>
        <w:pBdr>
          <w:top w:val="single" w:sz="4" w:space="1" w:color="auto"/>
          <w:left w:val="single" w:sz="4" w:space="4" w:color="auto"/>
          <w:bottom w:val="single" w:sz="4" w:space="1" w:color="auto"/>
          <w:right w:val="single" w:sz="4" w:space="4" w:color="auto"/>
        </w:pBdr>
        <w:rPr>
          <w:rStyle w:val="a8"/>
          <w:noProof/>
        </w:rPr>
      </w:pPr>
      <w:r>
        <w:rPr>
          <w:noProof/>
        </w:rPr>
        <w:t xml:space="preserve">Η σημερινή προσέγγιση της παροχής στοχοθετημένης κατάρτισης στα κράτη μέλη για την πρόληψη, τον εντοπισμό και τη διόρθωση της απάτης και άλλων σοβαρών </w:t>
      </w:r>
      <w:r>
        <w:rPr>
          <w:noProof/>
        </w:rPr>
        <w:lastRenderedPageBreak/>
        <w:t>παρατυπιών ενδέχεται να συνεχιστεί και στη μελλοντική ΚΓΠ. Το ίδιο ισχύει για τις θεματικά καθοδηγητικά σημειώματα προς τα κράτη μέλη σχετικά με συγκεκριμένους τομείς υψηλού κινδύνου.</w:t>
      </w:r>
    </w:p>
    <w:p w:rsidR="00A57BFD" w:rsidRDefault="00A57BFD">
      <w:pPr>
        <w:pStyle w:val="Text1"/>
        <w:pBdr>
          <w:top w:val="single" w:sz="4" w:space="1" w:color="auto"/>
          <w:left w:val="single" w:sz="4" w:space="4" w:color="auto"/>
          <w:bottom w:val="single" w:sz="4" w:space="1" w:color="auto"/>
          <w:right w:val="single" w:sz="4" w:space="4" w:color="auto"/>
        </w:pBdr>
        <w:rPr>
          <w:noProof/>
        </w:rPr>
      </w:pPr>
    </w:p>
    <w:p w:rsidR="00A57BFD" w:rsidRDefault="00A57BFD">
      <w:pPr>
        <w:rPr>
          <w:noProof/>
        </w:rPr>
        <w:sectPr w:rsidR="00A57BFD" w:rsidSect="005B0D19">
          <w:pgSz w:w="11907" w:h="16840" w:code="9"/>
          <w:pgMar w:top="1134" w:right="1418" w:bottom="1134" w:left="1418" w:header="709" w:footer="709" w:gutter="0"/>
          <w:cols w:space="708"/>
          <w:docGrid w:linePitch="360"/>
        </w:sectPr>
      </w:pPr>
    </w:p>
    <w:p w:rsidR="00A57BFD" w:rsidRDefault="005B0D19">
      <w:pPr>
        <w:pStyle w:val="ManualHeading1"/>
        <w:rPr>
          <w:noProof/>
        </w:rPr>
      </w:pPr>
      <w:r>
        <w:lastRenderedPageBreak/>
        <w:t>3.</w:t>
      </w:r>
      <w:r>
        <w:tab/>
      </w:r>
      <w:r>
        <w:rPr>
          <w:noProof/>
        </w:rPr>
        <w:t xml:space="preserve">ΕΚΤΙΜΩΜΕΝΕΣ ΔΗΜΟΣΙΟΝΟΜΙΚΕΣ ΕΠΙΠΤΩΣΕΙΣ ΤΗΣ ΠΡΟΤΑΣΗΣ </w:t>
      </w:r>
    </w:p>
    <w:p w:rsidR="00A57BFD" w:rsidRDefault="005B0D19">
      <w:pPr>
        <w:pStyle w:val="Text1"/>
        <w:pBdr>
          <w:top w:val="single" w:sz="4" w:space="1" w:color="auto"/>
          <w:left w:val="single" w:sz="4" w:space="4" w:color="auto"/>
          <w:bottom w:val="single" w:sz="4" w:space="1" w:color="auto"/>
          <w:right w:val="single" w:sz="4" w:space="4" w:color="auto"/>
        </w:pBdr>
        <w:rPr>
          <w:noProof/>
        </w:rPr>
      </w:pPr>
      <w:r>
        <w:rPr>
          <w:noProof/>
        </w:rPr>
        <w:t>Τα ποσά που αναφέρονται στο παρόν δημοσιονομικό δελτίο εκφράζονται σε τρέχουσες τιμές.</w:t>
      </w:r>
    </w:p>
    <w:p w:rsidR="00A57BFD" w:rsidRDefault="005B0D19">
      <w:pPr>
        <w:pStyle w:val="Text1"/>
        <w:pBdr>
          <w:top w:val="single" w:sz="4" w:space="1" w:color="auto"/>
          <w:left w:val="single" w:sz="4" w:space="4" w:color="auto"/>
          <w:bottom w:val="single" w:sz="4" w:space="1" w:color="auto"/>
          <w:right w:val="single" w:sz="4" w:space="4" w:color="auto"/>
        </w:pBdr>
        <w:rPr>
          <w:noProof/>
        </w:rPr>
      </w:pPr>
      <w:r>
        <w:rPr>
          <w:noProof/>
        </w:rPr>
        <w:t>Επιπλέον των τροποποιήσεων που προκύπτουν από τις νομοθετικές προτάσεις που απαριθμούνται κατωτέρω στους συνοδευτικούς πίνακες, οι νομοθετικές προτάσεις συνεπάγονται περαιτέρω τροποποιήσεις οι οποίες δεν έχουν δημοσιονομικό αντίκτυπο.</w:t>
      </w:r>
    </w:p>
    <w:p w:rsidR="00A57BFD" w:rsidRDefault="005B0D19">
      <w:pPr>
        <w:pStyle w:val="Text1"/>
        <w:pBdr>
          <w:top w:val="single" w:sz="4" w:space="1" w:color="auto"/>
          <w:left w:val="single" w:sz="4" w:space="4" w:color="auto"/>
          <w:bottom w:val="single" w:sz="4" w:space="1" w:color="auto"/>
          <w:right w:val="single" w:sz="4" w:space="4" w:color="auto"/>
        </w:pBdr>
        <w:rPr>
          <w:noProof/>
        </w:rPr>
      </w:pPr>
      <w:r>
        <w:rPr>
          <w:noProof/>
        </w:rPr>
        <w:t xml:space="preserve">Όσον αφορά τις δαπάνες που συνδέονται με την αγορά, πρέπει να επισημανθεί ότι τα ποσά τα οποία λαμβάνονται υπόψη για τις δαπάνες που συνδέονται με την αγορά βασίζονται στην παραδοχή ότι δεν θα πραγματοποιηθούν αγορές από δημόσια παρέμβαση ούτε άλλα μέτρα σχετικά με κατάσταση κρίσης σε οποιονδήποτε τομέα. </w:t>
      </w:r>
    </w:p>
    <w:p w:rsidR="00A57BFD" w:rsidRDefault="005B0D19">
      <w:pPr>
        <w:pStyle w:val="Text1"/>
        <w:pBdr>
          <w:top w:val="single" w:sz="4" w:space="1" w:color="auto"/>
          <w:left w:val="single" w:sz="4" w:space="4" w:color="auto"/>
          <w:bottom w:val="single" w:sz="4" w:space="1" w:color="auto"/>
          <w:right w:val="single" w:sz="4" w:space="4" w:color="auto"/>
        </w:pBdr>
        <w:rPr>
          <w:noProof/>
        </w:rPr>
      </w:pPr>
      <w:r>
        <w:rPr>
          <w:noProof/>
        </w:rPr>
        <w:t xml:space="preserve">Στο ΕΓΤΕ θα δημιουργηθεί ένα νέο γεωργικό αποθεματικό για την παροχή πρόσθετης στήριξης στον γεωργικό τομέα με μέτρα που λειτουργούν ως «δίχτυ ασφαλείας» στο πλαίσιο της διαχείρισης ή της σταθεροποίησης της αγοράς και/ή σε περίπτωση κρίσεων που πλήττουν τη γεωργική παραγωγή ή διανομή. Το ύψος του γεωργικού αποθεματικού θα ανέρχεται σε τουλάχιστον 400 εκατ. EUR στην αρχή κάθε οικονομικού έτους. Τα μη χρησιμοποιηθέντα ποσά του αποθεματικού για τις κρίσεις στον γεωργικό τομέα το οικονομικό έτος 2020 θα μεταφερθούν στο οικονομικό έτος 2021 για τη συγκρότηση του αποθεματικού· ετήσια μεταφορά των μη χρησιμοποιηθέντων ποσών θα εφαρμοστεί την περίοδο 2021-2027. Σε περίπτωση εξάντλησης του αποθεματικού, θα αναπληρωθεί με χρησιμοποίηση υφιστάμενων δημοσιονομικών διαθεσίμων ή με νέες πιστώσεις. Σε περίπτωση υπέρβασης του ειδικού επιμέρους ανωτάτου ορίου του ΕΓΤΕ που καθορίζεται στο ΠΔΠ 2021-2027, η δημοσιονομική πειθαρχία θα ισχύσει για όλες τις ανάγκες πάνω από το επιμέρους ανώτατο όριο, συμπεριλαμβανομένων των αναγκών αναπλήρωσης του αποθεματικού. Ως εκ τούτου, την περίοδο 2021-2027 δεν προβλέπεται η επανειλημμένη εφαρμογή δημοσιονομικής πειθαρχίας για τη δημιουργία του αποθεματικού. Ο μηχανισμός δημοσιονομικής πειθαρχίας θα παραμείνει για να διασφαλισθεί η μη υπέρβαση του επιμέρους ανώτατου ορίου για το ΕΓΤΕ. </w:t>
      </w:r>
    </w:p>
    <w:p w:rsidR="00A57BFD" w:rsidRDefault="005B0D19">
      <w:pPr>
        <w:pStyle w:val="Text1"/>
        <w:pBdr>
          <w:top w:val="single" w:sz="4" w:space="1" w:color="auto"/>
          <w:left w:val="single" w:sz="4" w:space="4" w:color="auto"/>
          <w:bottom w:val="single" w:sz="4" w:space="1" w:color="auto"/>
          <w:right w:val="single" w:sz="4" w:space="4" w:color="auto"/>
        </w:pBdr>
        <w:rPr>
          <w:noProof/>
        </w:rPr>
      </w:pPr>
      <w:r>
        <w:rPr>
          <w:noProof/>
        </w:rPr>
        <w:t xml:space="preserve">Όσον αφορά τους τύπους παρεμβάσεων άμεσων πληρωμών, τα καθαρά ανώτατα όρια για το οικονομικό έτος 2021 (ημερολογιακό έτος 2020) που καθορίζει ο κανονισμός (ΕΕ) αριθ. 1307/2013 του Ευρωπαϊκού Κοινοβουλίου και του Συμβουλίου είναι υψηλότερα από τα ποσά που διατίθενται για τους τύπους παρεμβάσεων άμεσων πληρωμών τα οποία αναφέρονται στους συνοδευτικούς πίνακες, και συνεπώς θα πρέπει να προσαρμοστούν σύμφωνα με την τελική συμφωνία για το χρηματοδοτικό κονδύλιο της ΚΓΠ εντός των προθεσμιών που απαιτούνται για την έγκαιρη εφαρμογή στα κράτη μέλη. </w:t>
      </w:r>
    </w:p>
    <w:p w:rsidR="00A57BFD" w:rsidRDefault="005B0D19">
      <w:pPr>
        <w:pStyle w:val="Text1"/>
        <w:pBdr>
          <w:top w:val="single" w:sz="4" w:space="1" w:color="auto"/>
          <w:left w:val="single" w:sz="4" w:space="4" w:color="auto"/>
          <w:bottom w:val="single" w:sz="4" w:space="1" w:color="auto"/>
          <w:right w:val="single" w:sz="4" w:space="4" w:color="auto"/>
        </w:pBdr>
        <w:rPr>
          <w:noProof/>
        </w:rPr>
      </w:pPr>
      <w:r>
        <w:rPr>
          <w:noProof/>
        </w:rPr>
        <w:t xml:space="preserve">Η πρόταση προβλέπει συνέχιση της διαδικασίας εξωτερικής σύγκλισης των άμεσων ενισχύσεων: Τα κράτη μέλη με άμεσες ενισχύσεις κάτω του 90 % του μέσου όρου της ΕΕ θα κλείσουν κατά 50 % το υφιστάμενο κενό μεταξύ του ποσοστού τους και του 90 % του μέσου όρου της ΕΕ σε 6 σταδιακά βήματα αρχίζοντας το 2022. Όλα τα κράτη μέλη θα συνεισφέρουν στη χρηματοδότηση αυτής της σύγκλισης. Τούτο αποτυπώνεται στα κονδύλια των κρατών μελών για άμεσες ενισχύσεις στο παράρτημα IV του κανονισμού για τα στρατηγικά σχέδια της ΚΓΠ. </w:t>
      </w:r>
    </w:p>
    <w:p w:rsidR="00A57BFD" w:rsidRDefault="005B0D19">
      <w:pPr>
        <w:pStyle w:val="Text1"/>
        <w:pBdr>
          <w:top w:val="single" w:sz="4" w:space="1" w:color="auto"/>
          <w:left w:val="single" w:sz="4" w:space="4" w:color="auto"/>
          <w:bottom w:val="single" w:sz="4" w:space="1" w:color="auto"/>
          <w:right w:val="single" w:sz="4" w:space="4" w:color="auto"/>
        </w:pBdr>
        <w:rPr>
          <w:noProof/>
        </w:rPr>
      </w:pPr>
      <w:r>
        <w:rPr>
          <w:noProof/>
        </w:rPr>
        <w:t xml:space="preserve">Η επίπτωση της μείωσης των άμεσων ενισχύσεων προς τους γεωργούς είναι δημοσιονομικά ουδέτερη όσον αφορά το κονδύλιο για τις άμεσες ενισχύσεις, δεδομένου ότι το προϊόν της μείωσης των ενισχύσεων θα χρησιμοποιηθεί για τη </w:t>
      </w:r>
      <w:r>
        <w:rPr>
          <w:noProof/>
        </w:rPr>
        <w:lastRenderedPageBreak/>
        <w:t>χρηματοδότηση της αναδιανεμητικής ενίσχυσης εντός του ίδιου κράτους μέλους. Σε περίπτωση που το προϊόν της μείωσης των ενισχύσεων δεν μπορεί να χρησιμοποιηθεί για τη χρηματοδότηση τύπων παρεμβάσεων άμεσων πληρωμών, μεταφέρεται στο κονδύλιο του ΕΓΤΑΑ του εν σχετικού κράτους μέλους. Τα ποσά της εν λόγω ενδεχόμενης μεταφοράς δεν μπορούν να ποσοτικοποιηθούν στο παρόν στάδιο.</w:t>
      </w:r>
    </w:p>
    <w:p w:rsidR="00A57BFD" w:rsidRDefault="005B0D19">
      <w:pPr>
        <w:pStyle w:val="Text1"/>
        <w:pBdr>
          <w:top w:val="single" w:sz="4" w:space="1" w:color="auto"/>
          <w:left w:val="single" w:sz="4" w:space="4" w:color="auto"/>
          <w:bottom w:val="single" w:sz="4" w:space="1" w:color="auto"/>
          <w:right w:val="single" w:sz="4" w:space="4" w:color="auto"/>
        </w:pBdr>
        <w:rPr>
          <w:noProof/>
        </w:rPr>
      </w:pPr>
      <w:r>
        <w:rPr>
          <w:noProof/>
        </w:rPr>
        <w:t xml:space="preserve">Όσον αφορά τα έσοδα ειδικού προορισμού του ΕΓΤΕ, η εκτίμηση αντικατοπτρίζει, αφενός, το αποτέλεσμα των αναβολών πληρωμών και των δόσεων στις προηγούμενες αποφάσεις εκκαθάρισης που θα εισπραχθούν μετά το 2020 και, αφετέρου, τα εκτιμώμενα προς είσπραξη έσοδα για ειδικό προορισμό από αποφάσεις εκκαθάρισης και από παρατυπίες. Τα τελευταία αναμένεται να μειωθούν σε σύγκριση με τα σημερινά επίπεδα, μετά την εισαγωγή του νέου μοντέλου υλοποίησης. </w:t>
      </w:r>
    </w:p>
    <w:p w:rsidR="00A57BFD" w:rsidRDefault="005B0D19">
      <w:pPr>
        <w:pStyle w:val="Text1"/>
        <w:pBdr>
          <w:top w:val="single" w:sz="4" w:space="1" w:color="auto"/>
          <w:left w:val="single" w:sz="4" w:space="4" w:color="auto"/>
          <w:bottom w:val="single" w:sz="4" w:space="1" w:color="auto"/>
          <w:right w:val="single" w:sz="4" w:space="4" w:color="auto"/>
        </w:pBdr>
        <w:rPr>
          <w:noProof/>
        </w:rPr>
      </w:pPr>
      <w:r>
        <w:rPr>
          <w:noProof/>
        </w:rPr>
        <w:t xml:space="preserve">Όσον αφορά το ΕΓΤΑΑ, η πρόταση προβλέπει μείωση των ποσοστών συγχρηματοδότησης της ΕΕ όπως συμβαίνει με τα άλλα Ευρωπαϊκά Διαρθρωτικά και Επενδυτικά Ταμεία. Αυτή, σε συνδυασμό με το κονδύλιο για τους τύπους παρεμβάσεων του ΕΓΤΑΑ, θα επιτρέψει να διατηρηθεί σε μεγάλο βαθμό αμετάβλητη η δημόσια στήριξη στις ευρωπαϊκές αγροτικές περιοχές. Η κατανομή μεταξύ των κρατών μελών βασίζεται σε αντικειμενικά κριτήρια και σε προηγούμενες επιδόσεις. </w:t>
      </w:r>
    </w:p>
    <w:p w:rsidR="00A57BFD" w:rsidRDefault="005B0D19">
      <w:pPr>
        <w:pStyle w:val="Text1"/>
        <w:pBdr>
          <w:top w:val="single" w:sz="4" w:space="1" w:color="auto"/>
          <w:left w:val="single" w:sz="4" w:space="4" w:color="auto"/>
          <w:bottom w:val="single" w:sz="4" w:space="1" w:color="auto"/>
          <w:right w:val="single" w:sz="4" w:space="4" w:color="auto"/>
        </w:pBdr>
        <w:rPr>
          <w:noProof/>
        </w:rPr>
      </w:pPr>
      <w:r>
        <w:rPr>
          <w:noProof/>
        </w:rPr>
        <w:t>Οι προτάσεις μεταρρύθμισης περιλαμβάνουν διατάξεις οι οποίες παρέχουν στα κράτη μέλη ορισμένη ευελιξία στο πλαίσιο της χορήγησης άμεσων ενισχύσεων και τύπων παρεμβάσεων αγροτικής ανάπτυξης, καθώς και μεταξύ της χορήγησης τύπων παρεμβάσεων άμεσων ενισχύσεων και της χορήγησης ορισμένων τομεακών τύπων παρεμβάσεων. Σε περίπτωση που τα κράτη μέλη αποφασίσουν να κάνουν χρήση της εν λόγω ευελιξίας, αυτό θα έχει δημοσιονομικό αντίκτυπο στα συγκεκριμένα χρηματικά ποσά, που δεν μπορεί να ποσοτικοποιηθεί στο παρόν στάδιο.</w:t>
      </w:r>
    </w:p>
    <w:p w:rsidR="00A57BFD" w:rsidRDefault="00A57BFD">
      <w:pPr>
        <w:pStyle w:val="Text1"/>
        <w:rPr>
          <w:noProof/>
        </w:rPr>
      </w:pPr>
    </w:p>
    <w:p w:rsidR="00A57BFD" w:rsidRDefault="005B0D19">
      <w:pPr>
        <w:pStyle w:val="ManualHeading2"/>
        <w:rPr>
          <w:noProof/>
        </w:rPr>
      </w:pPr>
      <w:r>
        <w:t>3.1.</w:t>
      </w:r>
      <w:r>
        <w:tab/>
      </w:r>
      <w:r>
        <w:rPr>
          <w:noProof/>
        </w:rPr>
        <w:t>Τομείς του πολυετούς δημοσιονομικού πλαισίου και προκαταρκτικός κατάλογος των νέων γραμμών δαπανών του προϋπολογισμού που προτείνονται</w:t>
      </w:r>
      <w:r>
        <w:rPr>
          <w:rStyle w:val="af7"/>
          <w:noProof/>
        </w:rPr>
        <w:footnoteReference w:id="41"/>
      </w:r>
      <w:r>
        <w:rPr>
          <w:noProof/>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3960"/>
        <w:gridCol w:w="1080"/>
        <w:gridCol w:w="956"/>
        <w:gridCol w:w="1080"/>
        <w:gridCol w:w="956"/>
        <w:gridCol w:w="1448"/>
      </w:tblGrid>
      <w:tr w:rsidR="00A57BFD">
        <w:trPr>
          <w:tblHeader/>
        </w:trPr>
        <w:tc>
          <w:tcPr>
            <w:tcW w:w="1080" w:type="dxa"/>
            <w:vMerge w:val="restart"/>
            <w:vAlign w:val="center"/>
          </w:tcPr>
          <w:p w:rsidR="00A57BFD" w:rsidRDefault="005B0D19">
            <w:pPr>
              <w:spacing w:before="60" w:after="60"/>
              <w:jc w:val="center"/>
              <w:rPr>
                <w:noProof/>
              </w:rPr>
            </w:pPr>
            <w:r>
              <w:rPr>
                <w:noProof/>
                <w:sz w:val="18"/>
              </w:rPr>
              <w:t>Τομέας του πολυετούς δημοσιονομικού πλαισίου</w:t>
            </w:r>
          </w:p>
        </w:tc>
        <w:tc>
          <w:tcPr>
            <w:tcW w:w="3960" w:type="dxa"/>
            <w:vAlign w:val="center"/>
          </w:tcPr>
          <w:p w:rsidR="00A57BFD" w:rsidRDefault="005B0D19">
            <w:pPr>
              <w:spacing w:before="60" w:after="60"/>
              <w:jc w:val="center"/>
              <w:rPr>
                <w:noProof/>
              </w:rPr>
            </w:pPr>
            <w:r>
              <w:rPr>
                <w:noProof/>
                <w:sz w:val="20"/>
              </w:rPr>
              <w:t>Γραμμή του προϋπολογισμού</w:t>
            </w:r>
          </w:p>
        </w:tc>
        <w:tc>
          <w:tcPr>
            <w:tcW w:w="1080" w:type="dxa"/>
            <w:vAlign w:val="center"/>
          </w:tcPr>
          <w:p w:rsidR="00A57BFD" w:rsidRDefault="005B0D19">
            <w:pPr>
              <w:spacing w:before="60" w:after="60"/>
              <w:jc w:val="center"/>
              <w:rPr>
                <w:noProof/>
              </w:rPr>
            </w:pPr>
            <w:r>
              <w:rPr>
                <w:noProof/>
              </w:rPr>
              <w:t>Είδος</w:t>
            </w:r>
            <w:r>
              <w:rPr>
                <w:noProof/>
                <w:sz w:val="18"/>
              </w:rPr>
              <w:t xml:space="preserve"> </w:t>
            </w:r>
            <w:r>
              <w:rPr>
                <w:noProof/>
                <w:sz w:val="22"/>
              </w:rPr>
              <w:br/>
            </w:r>
            <w:r>
              <w:rPr>
                <w:noProof/>
                <w:sz w:val="18"/>
              </w:rPr>
              <w:t>δαπάνης</w:t>
            </w:r>
          </w:p>
        </w:tc>
        <w:tc>
          <w:tcPr>
            <w:tcW w:w="4440" w:type="dxa"/>
            <w:gridSpan w:val="4"/>
            <w:vAlign w:val="center"/>
          </w:tcPr>
          <w:p w:rsidR="00A57BFD" w:rsidRDefault="005B0D19">
            <w:pPr>
              <w:spacing w:before="60" w:after="60"/>
              <w:jc w:val="center"/>
              <w:rPr>
                <w:noProof/>
              </w:rPr>
            </w:pPr>
            <w:r>
              <w:rPr>
                <w:noProof/>
                <w:sz w:val="20"/>
              </w:rPr>
              <w:t xml:space="preserve">Συμμετοχή </w:t>
            </w:r>
          </w:p>
        </w:tc>
      </w:tr>
      <w:tr w:rsidR="00A57BFD">
        <w:trPr>
          <w:tblHeader/>
        </w:trPr>
        <w:tc>
          <w:tcPr>
            <w:tcW w:w="1080" w:type="dxa"/>
            <w:vMerge/>
            <w:vAlign w:val="center"/>
          </w:tcPr>
          <w:p w:rsidR="00A57BFD" w:rsidRDefault="00A57BFD">
            <w:pPr>
              <w:jc w:val="center"/>
              <w:rPr>
                <w:noProof/>
              </w:rPr>
            </w:pPr>
          </w:p>
        </w:tc>
        <w:tc>
          <w:tcPr>
            <w:tcW w:w="3960" w:type="dxa"/>
            <w:vAlign w:val="center"/>
          </w:tcPr>
          <w:p w:rsidR="00A57BFD" w:rsidRDefault="005B0D19">
            <w:pPr>
              <w:rPr>
                <w:noProof/>
                <w:sz w:val="20"/>
              </w:rPr>
            </w:pPr>
            <w:r>
              <w:rPr>
                <w:noProof/>
                <w:sz w:val="20"/>
              </w:rPr>
              <w:t xml:space="preserve">Τίτλος 3: </w:t>
            </w:r>
          </w:p>
          <w:p w:rsidR="00A57BFD" w:rsidRDefault="005B0D19">
            <w:pPr>
              <w:rPr>
                <w:noProof/>
              </w:rPr>
            </w:pPr>
            <w:r>
              <w:rPr>
                <w:noProof/>
                <w:sz w:val="20"/>
              </w:rPr>
              <w:t>Φυσικοί πόροι και περιβάλλον</w:t>
            </w:r>
          </w:p>
        </w:tc>
        <w:tc>
          <w:tcPr>
            <w:tcW w:w="1080" w:type="dxa"/>
            <w:vAlign w:val="center"/>
          </w:tcPr>
          <w:p w:rsidR="00A57BFD" w:rsidRDefault="005B0D19">
            <w:pPr>
              <w:jc w:val="center"/>
              <w:rPr>
                <w:noProof/>
              </w:rPr>
            </w:pPr>
            <w:r>
              <w:rPr>
                <w:noProof/>
                <w:sz w:val="18"/>
              </w:rPr>
              <w:t>ΔΠ/ΜΔΠ</w:t>
            </w:r>
            <w:r>
              <w:rPr>
                <w:rStyle w:val="af7"/>
                <w:noProof/>
                <w:sz w:val="18"/>
              </w:rPr>
              <w:footnoteReference w:id="42"/>
            </w:r>
            <w:r>
              <w:rPr>
                <w:noProof/>
              </w:rPr>
              <w:t>.</w:t>
            </w:r>
          </w:p>
        </w:tc>
        <w:tc>
          <w:tcPr>
            <w:tcW w:w="956" w:type="dxa"/>
            <w:vAlign w:val="center"/>
          </w:tcPr>
          <w:p w:rsidR="00A57BFD" w:rsidRDefault="005B0D19">
            <w:pPr>
              <w:jc w:val="center"/>
              <w:rPr>
                <w:noProof/>
              </w:rPr>
            </w:pPr>
            <w:r>
              <w:rPr>
                <w:noProof/>
                <w:sz w:val="18"/>
              </w:rPr>
              <w:t>χωρών ΕΖΕΣ</w:t>
            </w:r>
            <w:r>
              <w:rPr>
                <w:rStyle w:val="af7"/>
                <w:noProof/>
                <w:sz w:val="18"/>
              </w:rPr>
              <w:footnoteReference w:id="43"/>
            </w:r>
          </w:p>
          <w:p w:rsidR="00A57BFD" w:rsidRDefault="00A57BFD">
            <w:pPr>
              <w:spacing w:before="0" w:after="0"/>
              <w:jc w:val="center"/>
              <w:rPr>
                <w:b/>
                <w:noProof/>
                <w:sz w:val="18"/>
              </w:rPr>
            </w:pPr>
          </w:p>
        </w:tc>
        <w:tc>
          <w:tcPr>
            <w:tcW w:w="1080" w:type="dxa"/>
            <w:vAlign w:val="center"/>
          </w:tcPr>
          <w:p w:rsidR="00A57BFD" w:rsidRDefault="005B0D19">
            <w:pPr>
              <w:jc w:val="center"/>
              <w:rPr>
                <w:noProof/>
              </w:rPr>
            </w:pPr>
            <w:r>
              <w:rPr>
                <w:noProof/>
                <w:sz w:val="18"/>
              </w:rPr>
              <w:t>υποψηφίων για ένταξη χωρών</w:t>
            </w:r>
            <w:r>
              <w:rPr>
                <w:rStyle w:val="af7"/>
                <w:noProof/>
                <w:sz w:val="18"/>
              </w:rPr>
              <w:footnoteReference w:id="44"/>
            </w:r>
          </w:p>
          <w:p w:rsidR="00A57BFD" w:rsidRDefault="00A57BFD">
            <w:pPr>
              <w:spacing w:before="0" w:after="0"/>
              <w:jc w:val="center"/>
              <w:rPr>
                <w:noProof/>
                <w:sz w:val="18"/>
              </w:rPr>
            </w:pPr>
          </w:p>
        </w:tc>
        <w:tc>
          <w:tcPr>
            <w:tcW w:w="956" w:type="dxa"/>
            <w:vAlign w:val="center"/>
          </w:tcPr>
          <w:p w:rsidR="00A57BFD" w:rsidRDefault="005B0D19">
            <w:pPr>
              <w:jc w:val="center"/>
              <w:rPr>
                <w:noProof/>
                <w:sz w:val="18"/>
              </w:rPr>
            </w:pPr>
            <w:r>
              <w:rPr>
                <w:noProof/>
                <w:sz w:val="18"/>
              </w:rPr>
              <w:t>τρίτων χωρών</w:t>
            </w:r>
          </w:p>
        </w:tc>
        <w:tc>
          <w:tcPr>
            <w:tcW w:w="1448" w:type="dxa"/>
            <w:vAlign w:val="center"/>
          </w:tcPr>
          <w:p w:rsidR="00A57BFD" w:rsidRDefault="005B0D19">
            <w:pPr>
              <w:jc w:val="center"/>
              <w:rPr>
                <w:noProof/>
              </w:rPr>
            </w:pPr>
            <w:r>
              <w:rPr>
                <w:noProof/>
                <w:sz w:val="16"/>
              </w:rPr>
              <w:t xml:space="preserve">κατά την έννοια του άρθρου [21 παράγραφος 2 στοιχείο β)] του δημοσιονομικού κανονισμού </w:t>
            </w:r>
          </w:p>
        </w:tc>
      </w:tr>
      <w:tr w:rsidR="00A57BFD">
        <w:tc>
          <w:tcPr>
            <w:tcW w:w="1080"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A57BFD" w:rsidRDefault="005B0D19">
            <w:pPr>
              <w:spacing w:after="60"/>
              <w:jc w:val="left"/>
            </w:pPr>
            <w:r>
              <w:rPr>
                <w:noProof/>
              </w:rPr>
              <w:t>[08.01.YY] ΕΓΤΕ – Μη επιχειρησιακή τεχνική βοήθεια</w:t>
            </w:r>
          </w:p>
        </w:tc>
        <w:tc>
          <w:tcPr>
            <w:tcW w:w="1080"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ΜΔΠ</w:t>
            </w:r>
          </w:p>
        </w:tc>
        <w:tc>
          <w:tcPr>
            <w:tcW w:w="956"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c>
          <w:tcPr>
            <w:tcW w:w="1080"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c>
          <w:tcPr>
            <w:tcW w:w="956"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c>
          <w:tcPr>
            <w:tcW w:w="1448"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r>
      <w:tr w:rsidR="00A57BFD">
        <w:tc>
          <w:tcPr>
            <w:tcW w:w="1080"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rPr>
              <w:lastRenderedPageBreak/>
              <w:t>3</w:t>
            </w:r>
          </w:p>
        </w:tc>
        <w:tc>
          <w:tcPr>
            <w:tcW w:w="3960" w:type="dxa"/>
            <w:tcBorders>
              <w:top w:val="single" w:sz="4" w:space="0" w:color="auto"/>
              <w:left w:val="single" w:sz="4" w:space="0" w:color="auto"/>
              <w:bottom w:val="single" w:sz="4" w:space="0" w:color="auto"/>
              <w:right w:val="single" w:sz="4" w:space="0" w:color="auto"/>
            </w:tcBorders>
            <w:vAlign w:val="center"/>
          </w:tcPr>
          <w:p w:rsidR="00A57BFD" w:rsidRDefault="005B0D19">
            <w:pPr>
              <w:spacing w:after="60"/>
              <w:jc w:val="left"/>
            </w:pPr>
            <w:r>
              <w:rPr>
                <w:noProof/>
              </w:rPr>
              <w:t>[08.01.YY] ΕΓΤΑΑ – Μη επιχειρησιακή τεχνική βοήθεια</w:t>
            </w:r>
          </w:p>
        </w:tc>
        <w:tc>
          <w:tcPr>
            <w:tcW w:w="1080"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ΜΔΠ</w:t>
            </w:r>
          </w:p>
        </w:tc>
        <w:tc>
          <w:tcPr>
            <w:tcW w:w="956"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c>
          <w:tcPr>
            <w:tcW w:w="1080"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c>
          <w:tcPr>
            <w:tcW w:w="956"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c>
          <w:tcPr>
            <w:tcW w:w="1448"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r>
      <w:tr w:rsidR="00A57BFD">
        <w:tc>
          <w:tcPr>
            <w:tcW w:w="1080"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A57BFD" w:rsidRDefault="005B0D19">
            <w:pPr>
              <w:spacing w:after="60"/>
              <w:jc w:val="left"/>
            </w:pPr>
            <w:r>
              <w:rPr>
                <w:noProof/>
              </w:rPr>
              <w:t>[08.01.YY] Εκτελεστικοί οργανισμοί</w:t>
            </w:r>
          </w:p>
        </w:tc>
        <w:tc>
          <w:tcPr>
            <w:tcW w:w="1080"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ΜΔΠ</w:t>
            </w:r>
          </w:p>
        </w:tc>
        <w:tc>
          <w:tcPr>
            <w:tcW w:w="956"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c>
          <w:tcPr>
            <w:tcW w:w="1080"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c>
          <w:tcPr>
            <w:tcW w:w="956"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c>
          <w:tcPr>
            <w:tcW w:w="1448"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r>
      <w:tr w:rsidR="00A57BFD">
        <w:tc>
          <w:tcPr>
            <w:tcW w:w="1080"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A57BFD" w:rsidRDefault="005B0D19">
            <w:pPr>
              <w:spacing w:after="60"/>
              <w:jc w:val="left"/>
            </w:pPr>
            <w:r>
              <w:rPr>
                <w:noProof/>
              </w:rPr>
              <w:t>[08.02.YY] Γεωργικό αποθεματικό</w:t>
            </w:r>
          </w:p>
        </w:tc>
        <w:tc>
          <w:tcPr>
            <w:tcW w:w="1080"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ΜΔΠ</w:t>
            </w:r>
          </w:p>
        </w:tc>
        <w:tc>
          <w:tcPr>
            <w:tcW w:w="956"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c>
          <w:tcPr>
            <w:tcW w:w="1080"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c>
          <w:tcPr>
            <w:tcW w:w="956"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c>
          <w:tcPr>
            <w:tcW w:w="1448"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r>
      <w:tr w:rsidR="00A57BFD">
        <w:tc>
          <w:tcPr>
            <w:tcW w:w="1080"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A57BFD" w:rsidRDefault="005B0D19">
            <w:pPr>
              <w:spacing w:after="60"/>
              <w:jc w:val="left"/>
            </w:pPr>
            <w:r>
              <w:rPr>
                <w:noProof/>
              </w:rPr>
              <w:t>[08.02.YY] Τομεακοί τύποι παρεμβάσεων στο πλαίσιο του σχεδίου της ΚΓΠ</w:t>
            </w:r>
          </w:p>
        </w:tc>
        <w:tc>
          <w:tcPr>
            <w:tcW w:w="1080"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ΜΔΠ</w:t>
            </w:r>
          </w:p>
        </w:tc>
        <w:tc>
          <w:tcPr>
            <w:tcW w:w="956"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c>
          <w:tcPr>
            <w:tcW w:w="1080"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c>
          <w:tcPr>
            <w:tcW w:w="956"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c>
          <w:tcPr>
            <w:tcW w:w="1448"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r>
      <w:tr w:rsidR="00A57BFD">
        <w:tc>
          <w:tcPr>
            <w:tcW w:w="1080"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A57BFD" w:rsidRDefault="005B0D19">
            <w:pPr>
              <w:spacing w:after="60"/>
              <w:jc w:val="left"/>
            </w:pPr>
            <w:r>
              <w:rPr>
                <w:noProof/>
              </w:rPr>
              <w:t>[08.02.YY] Δαπάνες σχετικές με την αγορά, εκτός του σχεδίου της ΚΓΠ</w:t>
            </w:r>
          </w:p>
        </w:tc>
        <w:tc>
          <w:tcPr>
            <w:tcW w:w="1080"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ΔΠ και ΜΔΠ</w:t>
            </w:r>
          </w:p>
        </w:tc>
        <w:tc>
          <w:tcPr>
            <w:tcW w:w="956"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c>
          <w:tcPr>
            <w:tcW w:w="1080"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c>
          <w:tcPr>
            <w:tcW w:w="956"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c>
          <w:tcPr>
            <w:tcW w:w="1448"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r>
      <w:tr w:rsidR="00A57BFD">
        <w:tc>
          <w:tcPr>
            <w:tcW w:w="1080"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A57BFD" w:rsidRDefault="005B0D19">
            <w:pPr>
              <w:spacing w:after="60"/>
              <w:jc w:val="left"/>
            </w:pPr>
            <w:r>
              <w:rPr>
                <w:noProof/>
              </w:rPr>
              <w:t>[08.02.YY] Τύποι παρεμβάσεων άμεσων ενισχύσεων στο πλαίσιο του σχεδίου της ΚΓΠ</w:t>
            </w:r>
          </w:p>
        </w:tc>
        <w:tc>
          <w:tcPr>
            <w:tcW w:w="1080"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ΜΔΠ</w:t>
            </w:r>
          </w:p>
        </w:tc>
        <w:tc>
          <w:tcPr>
            <w:tcW w:w="956"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c>
          <w:tcPr>
            <w:tcW w:w="1080"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c>
          <w:tcPr>
            <w:tcW w:w="956"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c>
          <w:tcPr>
            <w:tcW w:w="1448"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r>
      <w:tr w:rsidR="00A57BFD">
        <w:tc>
          <w:tcPr>
            <w:tcW w:w="1080"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A57BFD" w:rsidRDefault="005B0D19">
            <w:pPr>
              <w:spacing w:after="60"/>
              <w:jc w:val="left"/>
            </w:pPr>
            <w:r>
              <w:rPr>
                <w:noProof/>
              </w:rPr>
              <w:t>[08.02.YY] Άμεσες ενισχύσεις εκτός του σχεδίου της ΚΓΠ</w:t>
            </w:r>
          </w:p>
        </w:tc>
        <w:tc>
          <w:tcPr>
            <w:tcW w:w="1080"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ΜΔΠ</w:t>
            </w:r>
          </w:p>
        </w:tc>
        <w:tc>
          <w:tcPr>
            <w:tcW w:w="956"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c>
          <w:tcPr>
            <w:tcW w:w="1080"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c>
          <w:tcPr>
            <w:tcW w:w="956"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c>
          <w:tcPr>
            <w:tcW w:w="1448"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r>
      <w:tr w:rsidR="00A57BFD">
        <w:tc>
          <w:tcPr>
            <w:tcW w:w="1080"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A57BFD" w:rsidRDefault="005B0D19">
            <w:pPr>
              <w:spacing w:after="60"/>
              <w:jc w:val="left"/>
            </w:pPr>
            <w:r>
              <w:rPr>
                <w:noProof/>
              </w:rPr>
              <w:t>[08.02.YY] Επιχειρησιακή τεχνική βοήθεια ΕΓΤΕ</w:t>
            </w:r>
          </w:p>
        </w:tc>
        <w:tc>
          <w:tcPr>
            <w:tcW w:w="1080"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ΔΠ και ΜΔΠ</w:t>
            </w:r>
          </w:p>
        </w:tc>
        <w:tc>
          <w:tcPr>
            <w:tcW w:w="956"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c>
          <w:tcPr>
            <w:tcW w:w="1080"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c>
          <w:tcPr>
            <w:tcW w:w="956"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c>
          <w:tcPr>
            <w:tcW w:w="1448"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r>
      <w:tr w:rsidR="00A57BFD">
        <w:tc>
          <w:tcPr>
            <w:tcW w:w="1080"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A57BFD" w:rsidRDefault="005B0D19">
            <w:pPr>
              <w:spacing w:after="60"/>
              <w:jc w:val="left"/>
            </w:pPr>
            <w:r>
              <w:rPr>
                <w:noProof/>
              </w:rPr>
              <w:t>[08.03.YY] Τύποι παρεμβάσεων αγροτικής ανάπτυξης 2021-2027 στο πλαίσιο του σχεδίου της ΚΓΠ</w:t>
            </w:r>
          </w:p>
        </w:tc>
        <w:tc>
          <w:tcPr>
            <w:tcW w:w="1080"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ΔΠ</w:t>
            </w:r>
          </w:p>
        </w:tc>
        <w:tc>
          <w:tcPr>
            <w:tcW w:w="956"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c>
          <w:tcPr>
            <w:tcW w:w="1080"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c>
          <w:tcPr>
            <w:tcW w:w="956"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c>
          <w:tcPr>
            <w:tcW w:w="1448"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r>
      <w:tr w:rsidR="00A57BFD">
        <w:tc>
          <w:tcPr>
            <w:tcW w:w="1080"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A57BFD" w:rsidRDefault="005B0D19">
            <w:pPr>
              <w:spacing w:after="60"/>
              <w:jc w:val="left"/>
            </w:pPr>
            <w:r>
              <w:rPr>
                <w:noProof/>
              </w:rPr>
              <w:t>[08.03.YY] Επιχειρησιακή τεχνική βοήθεια ΕΓΤΑΑ</w:t>
            </w:r>
          </w:p>
        </w:tc>
        <w:tc>
          <w:tcPr>
            <w:tcW w:w="1080"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ΔΠ</w:t>
            </w:r>
          </w:p>
        </w:tc>
        <w:tc>
          <w:tcPr>
            <w:tcW w:w="956"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c>
          <w:tcPr>
            <w:tcW w:w="1080"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c>
          <w:tcPr>
            <w:tcW w:w="956"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c>
          <w:tcPr>
            <w:tcW w:w="1448"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r>
      <w:tr w:rsidR="00A57BFD">
        <w:tc>
          <w:tcPr>
            <w:tcW w:w="1080"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rPr>
              <w:t>7</w:t>
            </w:r>
          </w:p>
        </w:tc>
        <w:tc>
          <w:tcPr>
            <w:tcW w:w="3960" w:type="dxa"/>
            <w:tcBorders>
              <w:top w:val="single" w:sz="4" w:space="0" w:color="auto"/>
              <w:left w:val="single" w:sz="4" w:space="0" w:color="auto"/>
              <w:bottom w:val="single" w:sz="4" w:space="0" w:color="auto"/>
              <w:right w:val="single" w:sz="4" w:space="0" w:color="auto"/>
            </w:tcBorders>
            <w:vAlign w:val="center"/>
          </w:tcPr>
          <w:p w:rsidR="00A57BFD" w:rsidRDefault="005B0D19">
            <w:pPr>
              <w:spacing w:after="60"/>
              <w:jc w:val="left"/>
            </w:pPr>
            <w:r>
              <w:rPr>
                <w:noProof/>
              </w:rPr>
              <w:t>[08.01.YY] Δαπάνες σχετικές με μόνιμους και έκτακτους υπαλλήλους στον τομέα πολιτικής «Γεωργία και αγροτική ανάπτυξη»</w:t>
            </w:r>
          </w:p>
        </w:tc>
        <w:tc>
          <w:tcPr>
            <w:tcW w:w="1080"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ΜΔΠ</w:t>
            </w:r>
          </w:p>
        </w:tc>
        <w:tc>
          <w:tcPr>
            <w:tcW w:w="956"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c>
          <w:tcPr>
            <w:tcW w:w="1080"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c>
          <w:tcPr>
            <w:tcW w:w="956"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c>
          <w:tcPr>
            <w:tcW w:w="1448"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r>
      <w:tr w:rsidR="00A57BFD">
        <w:tc>
          <w:tcPr>
            <w:tcW w:w="1080"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rPr>
              <w:t>7</w:t>
            </w:r>
          </w:p>
        </w:tc>
        <w:tc>
          <w:tcPr>
            <w:tcW w:w="3960" w:type="dxa"/>
            <w:tcBorders>
              <w:top w:val="single" w:sz="4" w:space="0" w:color="auto"/>
              <w:left w:val="single" w:sz="4" w:space="0" w:color="auto"/>
              <w:bottom w:val="single" w:sz="4" w:space="0" w:color="auto"/>
              <w:right w:val="single" w:sz="4" w:space="0" w:color="auto"/>
            </w:tcBorders>
            <w:vAlign w:val="center"/>
          </w:tcPr>
          <w:p w:rsidR="00A57BFD" w:rsidRDefault="005B0D19">
            <w:pPr>
              <w:spacing w:after="60"/>
              <w:jc w:val="left"/>
            </w:pPr>
            <w:r>
              <w:rPr>
                <w:noProof/>
              </w:rPr>
              <w:t>[08.01.YY] Εξωτερικό προσωπικό και άλλες δαπάνες διαχείρισης για τη στήριξη του τομέα πολιτικής «Γεωργία και αγροτική ανάπτυξη»</w:t>
            </w:r>
          </w:p>
        </w:tc>
        <w:tc>
          <w:tcPr>
            <w:tcW w:w="1080"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ΜΔΠ</w:t>
            </w:r>
          </w:p>
        </w:tc>
        <w:tc>
          <w:tcPr>
            <w:tcW w:w="956"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c>
          <w:tcPr>
            <w:tcW w:w="1080"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c>
          <w:tcPr>
            <w:tcW w:w="956"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c>
          <w:tcPr>
            <w:tcW w:w="1448"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r>
      <w:tr w:rsidR="00A57BFD">
        <w:tc>
          <w:tcPr>
            <w:tcW w:w="1080"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rPr>
              <w:t>7</w:t>
            </w:r>
          </w:p>
        </w:tc>
        <w:tc>
          <w:tcPr>
            <w:tcW w:w="3960" w:type="dxa"/>
            <w:tcBorders>
              <w:top w:val="single" w:sz="4" w:space="0" w:color="auto"/>
              <w:left w:val="single" w:sz="4" w:space="0" w:color="auto"/>
              <w:bottom w:val="single" w:sz="4" w:space="0" w:color="auto"/>
              <w:right w:val="single" w:sz="4" w:space="0" w:color="auto"/>
            </w:tcBorders>
            <w:vAlign w:val="center"/>
          </w:tcPr>
          <w:p w:rsidR="00A57BFD" w:rsidRDefault="005B0D19">
            <w:pPr>
              <w:spacing w:after="60"/>
              <w:jc w:val="left"/>
            </w:pPr>
            <w:r>
              <w:rPr>
                <w:noProof/>
              </w:rPr>
              <w:t>[08.01.YY] Δαπάνες σχετικά με τον εξοπλισμό και τις υπηρεσίες των τεχνολογιών των πληροφοριών και των επικοινωνιών του τομέα πολιτικής «Γεωργία και αγροτική ανάπτυξη»</w:t>
            </w:r>
          </w:p>
        </w:tc>
        <w:tc>
          <w:tcPr>
            <w:tcW w:w="1080"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ΜΔΠ</w:t>
            </w:r>
          </w:p>
        </w:tc>
        <w:tc>
          <w:tcPr>
            <w:tcW w:w="956"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c>
          <w:tcPr>
            <w:tcW w:w="1080"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c>
          <w:tcPr>
            <w:tcW w:w="956"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c>
          <w:tcPr>
            <w:tcW w:w="1448" w:type="dxa"/>
            <w:tcBorders>
              <w:top w:val="single" w:sz="4" w:space="0" w:color="auto"/>
              <w:left w:val="single" w:sz="4" w:space="0" w:color="auto"/>
              <w:bottom w:val="single" w:sz="4" w:space="0" w:color="auto"/>
              <w:right w:val="single" w:sz="4" w:space="0" w:color="auto"/>
            </w:tcBorders>
            <w:vAlign w:val="center"/>
          </w:tcPr>
          <w:p w:rsidR="00A57BFD" w:rsidRDefault="005B0D19">
            <w:pPr>
              <w:jc w:val="center"/>
              <w:rPr>
                <w:noProof/>
              </w:rPr>
            </w:pPr>
            <w:r>
              <w:rPr>
                <w:noProof/>
                <w:sz w:val="22"/>
              </w:rPr>
              <w:t>ΟΧΙ</w:t>
            </w:r>
          </w:p>
        </w:tc>
      </w:tr>
    </w:tbl>
    <w:p w:rsidR="00A57BFD" w:rsidRDefault="005B0D19">
      <w:pPr>
        <w:rPr>
          <w:noProof/>
        </w:rPr>
        <w:sectPr w:rsidR="00A57BFD" w:rsidSect="005B0D19">
          <w:pgSz w:w="11907" w:h="16840" w:code="1"/>
          <w:pgMar w:top="1134" w:right="1418" w:bottom="1134" w:left="1418" w:header="709" w:footer="709" w:gutter="0"/>
          <w:cols w:space="708"/>
          <w:docGrid w:linePitch="360"/>
        </w:sectPr>
      </w:pPr>
      <w:r>
        <w:rPr>
          <w:noProof/>
        </w:rPr>
        <w:lastRenderedPageBreak/>
        <w:t>Ο κατάλογος των γραμμών του προϋπολογισμού στον ανωτέρω πίνακα είναι προκαταρκτικός και δεν προδικάζει τη συγκεκριμένη ονοματολογία του προϋπολογισμού που θα προτείνει η Επιτροπή στο πλαίσιο της ετήσιας διαδικασίας του προϋπολογισμού.</w:t>
      </w:r>
    </w:p>
    <w:p w:rsidR="00A57BFD" w:rsidRDefault="005B0D19">
      <w:pPr>
        <w:pStyle w:val="ManualHeading2"/>
        <w:rPr>
          <w:bCs/>
          <w:noProof/>
          <w:szCs w:val="24"/>
        </w:rPr>
      </w:pPr>
      <w:r>
        <w:lastRenderedPageBreak/>
        <w:t>3.2.</w:t>
      </w:r>
      <w:r>
        <w:tab/>
      </w:r>
      <w:r>
        <w:rPr>
          <w:noProof/>
        </w:rPr>
        <w:t xml:space="preserve">Εκτιμώμενες επιπτώσεις στις δαπάνες </w:t>
      </w:r>
    </w:p>
    <w:p w:rsidR="00A57BFD" w:rsidRDefault="005B0D19">
      <w:pPr>
        <w:pStyle w:val="ManualHeading3"/>
        <w:rPr>
          <w:noProof/>
        </w:rPr>
      </w:pPr>
      <w:r>
        <w:t>3.2.1.</w:t>
      </w:r>
      <w:r>
        <w:tab/>
      </w:r>
      <w:r>
        <w:rPr>
          <w:noProof/>
        </w:rPr>
        <w:t xml:space="preserve">Συνοπτική παρουσίαση των εκτιμώμενων επιπτώσεων στις δαπάνες </w:t>
      </w:r>
    </w:p>
    <w:p w:rsidR="00A57BFD" w:rsidRDefault="005B0D19">
      <w:pPr>
        <w:jc w:val="right"/>
        <w:rPr>
          <w:noProof/>
          <w:sz w:val="20"/>
        </w:rPr>
      </w:pPr>
      <w:r>
        <w:rPr>
          <w:noProof/>
          <w:sz w:val="20"/>
        </w:rPr>
        <w:t>σε εκατ. EUR (με τρία δεκαδικά ψηφία)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44"/>
        <w:gridCol w:w="1080"/>
        <w:gridCol w:w="7817"/>
      </w:tblGrid>
      <w:tr w:rsidR="00A57BFD">
        <w:trPr>
          <w:jc w:val="center"/>
        </w:trPr>
        <w:tc>
          <w:tcPr>
            <w:tcW w:w="4744" w:type="dxa"/>
            <w:shd w:val="thinDiagStripe" w:color="C0C0C0" w:fill="auto"/>
            <w:vAlign w:val="center"/>
          </w:tcPr>
          <w:p w:rsidR="00A57BFD" w:rsidRDefault="005B0D19">
            <w:pPr>
              <w:spacing w:before="60" w:after="60"/>
              <w:jc w:val="center"/>
              <w:rPr>
                <w:b/>
                <w:noProof/>
              </w:rPr>
            </w:pPr>
            <w:r>
              <w:rPr>
                <w:b/>
                <w:noProof/>
              </w:rPr>
              <w:t>Τομέας του πολυετούς δημοσιονομικού</w:t>
            </w:r>
            <w:r>
              <w:rPr>
                <w:noProof/>
                <w:sz w:val="22"/>
              </w:rPr>
              <w:br/>
            </w:r>
            <w:r>
              <w:rPr>
                <w:b/>
                <w:noProof/>
                <w:sz w:val="22"/>
              </w:rPr>
              <w:t xml:space="preserve">πλαισίου </w:t>
            </w:r>
          </w:p>
        </w:tc>
        <w:tc>
          <w:tcPr>
            <w:tcW w:w="1080" w:type="dxa"/>
            <w:vAlign w:val="center"/>
          </w:tcPr>
          <w:p w:rsidR="00A57BFD" w:rsidRDefault="005B0D19">
            <w:pPr>
              <w:spacing w:before="60" w:after="60"/>
              <w:jc w:val="center"/>
              <w:rPr>
                <w:noProof/>
              </w:rPr>
            </w:pPr>
            <w:r>
              <w:rPr>
                <w:b/>
                <w:noProof/>
                <w:sz w:val="22"/>
              </w:rPr>
              <w:t>3</w:t>
            </w:r>
          </w:p>
        </w:tc>
        <w:tc>
          <w:tcPr>
            <w:tcW w:w="7817" w:type="dxa"/>
            <w:vAlign w:val="center"/>
          </w:tcPr>
          <w:p w:rsidR="00A57BFD" w:rsidRDefault="005B0D19">
            <w:pPr>
              <w:spacing w:before="60" w:after="60"/>
              <w:rPr>
                <w:noProof/>
              </w:rPr>
            </w:pPr>
            <w:r>
              <w:rPr>
                <w:noProof/>
                <w:sz w:val="22"/>
              </w:rPr>
              <w:t>Φυσικοί πόροι και περιβάλλον</w:t>
            </w:r>
          </w:p>
        </w:tc>
      </w:tr>
    </w:tbl>
    <w:p w:rsidR="00A57BFD" w:rsidRDefault="00A57BFD">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95"/>
        <w:gridCol w:w="1417"/>
        <w:gridCol w:w="709"/>
        <w:gridCol w:w="974"/>
        <w:gridCol w:w="975"/>
        <w:gridCol w:w="974"/>
        <w:gridCol w:w="975"/>
        <w:gridCol w:w="974"/>
        <w:gridCol w:w="975"/>
        <w:gridCol w:w="974"/>
        <w:gridCol w:w="975"/>
        <w:gridCol w:w="1054"/>
      </w:tblGrid>
      <w:tr w:rsidR="00A57BFD">
        <w:trPr>
          <w:jc w:val="center"/>
        </w:trPr>
        <w:tc>
          <w:tcPr>
            <w:tcW w:w="5621" w:type="dxa"/>
            <w:gridSpan w:val="3"/>
            <w:tcBorders>
              <w:top w:val="nil"/>
              <w:left w:val="nil"/>
              <w:bottom w:val="nil"/>
              <w:right w:val="single" w:sz="4" w:space="0" w:color="auto"/>
            </w:tcBorders>
            <w:vAlign w:val="center"/>
          </w:tcPr>
          <w:p w:rsidR="00A57BFD" w:rsidRDefault="00A57BFD">
            <w:pPr>
              <w:jc w:val="center"/>
              <w:rPr>
                <w:b/>
                <w:noProof/>
                <w:sz w:val="20"/>
              </w:rPr>
            </w:pPr>
          </w:p>
        </w:tc>
        <w:tc>
          <w:tcPr>
            <w:tcW w:w="974" w:type="dxa"/>
            <w:tcBorders>
              <w:left w:val="single" w:sz="4" w:space="0" w:color="auto"/>
            </w:tcBorders>
            <w:vAlign w:val="center"/>
          </w:tcPr>
          <w:p w:rsidR="00A57BFD" w:rsidRDefault="005B0D19">
            <w:pPr>
              <w:jc w:val="center"/>
              <w:rPr>
                <w:b/>
                <w:noProof/>
                <w:sz w:val="20"/>
              </w:rPr>
            </w:pPr>
            <w:r>
              <w:rPr>
                <w:b/>
                <w:noProof/>
                <w:sz w:val="20"/>
              </w:rPr>
              <w:t>2021</w:t>
            </w:r>
          </w:p>
        </w:tc>
        <w:tc>
          <w:tcPr>
            <w:tcW w:w="975" w:type="dxa"/>
            <w:vAlign w:val="center"/>
          </w:tcPr>
          <w:p w:rsidR="00A57BFD" w:rsidRDefault="005B0D19">
            <w:pPr>
              <w:jc w:val="center"/>
              <w:rPr>
                <w:b/>
                <w:noProof/>
                <w:sz w:val="20"/>
              </w:rPr>
            </w:pPr>
            <w:r>
              <w:rPr>
                <w:b/>
                <w:noProof/>
                <w:sz w:val="20"/>
              </w:rPr>
              <w:t>2022</w:t>
            </w:r>
          </w:p>
        </w:tc>
        <w:tc>
          <w:tcPr>
            <w:tcW w:w="974" w:type="dxa"/>
            <w:vAlign w:val="center"/>
          </w:tcPr>
          <w:p w:rsidR="00A57BFD" w:rsidRDefault="005B0D19">
            <w:pPr>
              <w:jc w:val="center"/>
              <w:rPr>
                <w:b/>
                <w:noProof/>
                <w:sz w:val="20"/>
              </w:rPr>
            </w:pPr>
            <w:r>
              <w:rPr>
                <w:b/>
                <w:noProof/>
                <w:sz w:val="20"/>
              </w:rPr>
              <w:t>2023</w:t>
            </w:r>
          </w:p>
        </w:tc>
        <w:tc>
          <w:tcPr>
            <w:tcW w:w="975" w:type="dxa"/>
            <w:vAlign w:val="center"/>
          </w:tcPr>
          <w:p w:rsidR="00A57BFD" w:rsidRDefault="005B0D19">
            <w:pPr>
              <w:jc w:val="center"/>
              <w:rPr>
                <w:b/>
                <w:noProof/>
                <w:sz w:val="20"/>
              </w:rPr>
            </w:pPr>
            <w:r>
              <w:rPr>
                <w:b/>
                <w:noProof/>
                <w:sz w:val="20"/>
              </w:rPr>
              <w:t>2024</w:t>
            </w:r>
          </w:p>
        </w:tc>
        <w:tc>
          <w:tcPr>
            <w:tcW w:w="974" w:type="dxa"/>
            <w:vAlign w:val="center"/>
          </w:tcPr>
          <w:p w:rsidR="00A57BFD" w:rsidRDefault="005B0D19">
            <w:pPr>
              <w:jc w:val="center"/>
              <w:rPr>
                <w:b/>
                <w:noProof/>
                <w:sz w:val="18"/>
              </w:rPr>
            </w:pPr>
            <w:r>
              <w:rPr>
                <w:b/>
                <w:noProof/>
                <w:sz w:val="18"/>
              </w:rPr>
              <w:t>2025</w:t>
            </w:r>
          </w:p>
        </w:tc>
        <w:tc>
          <w:tcPr>
            <w:tcW w:w="975" w:type="dxa"/>
            <w:vAlign w:val="center"/>
          </w:tcPr>
          <w:p w:rsidR="00A57BFD" w:rsidRDefault="005B0D19">
            <w:pPr>
              <w:jc w:val="center"/>
              <w:rPr>
                <w:b/>
                <w:noProof/>
                <w:sz w:val="18"/>
              </w:rPr>
            </w:pPr>
            <w:r>
              <w:rPr>
                <w:b/>
                <w:noProof/>
                <w:sz w:val="18"/>
              </w:rPr>
              <w:t>2026</w:t>
            </w:r>
          </w:p>
        </w:tc>
        <w:tc>
          <w:tcPr>
            <w:tcW w:w="974" w:type="dxa"/>
            <w:vAlign w:val="center"/>
          </w:tcPr>
          <w:p w:rsidR="00A57BFD" w:rsidRDefault="005B0D19">
            <w:pPr>
              <w:jc w:val="center"/>
              <w:rPr>
                <w:b/>
                <w:noProof/>
                <w:sz w:val="18"/>
              </w:rPr>
            </w:pPr>
            <w:r>
              <w:rPr>
                <w:b/>
                <w:noProof/>
                <w:sz w:val="18"/>
              </w:rPr>
              <w:t>2027</w:t>
            </w:r>
          </w:p>
        </w:tc>
        <w:tc>
          <w:tcPr>
            <w:tcW w:w="975" w:type="dxa"/>
          </w:tcPr>
          <w:p w:rsidR="00A57BFD" w:rsidRDefault="005B0D19">
            <w:pPr>
              <w:jc w:val="center"/>
              <w:rPr>
                <w:b/>
                <w:i/>
                <w:noProof/>
                <w:sz w:val="20"/>
              </w:rPr>
            </w:pPr>
            <w:r>
              <w:rPr>
                <w:b/>
                <w:i/>
                <w:noProof/>
                <w:sz w:val="20"/>
              </w:rPr>
              <w:t>Μετά το 2027</w:t>
            </w:r>
          </w:p>
        </w:tc>
        <w:tc>
          <w:tcPr>
            <w:tcW w:w="1054" w:type="dxa"/>
            <w:vAlign w:val="center"/>
          </w:tcPr>
          <w:p w:rsidR="00A57BFD" w:rsidRDefault="005B0D19">
            <w:pPr>
              <w:ind w:left="127"/>
              <w:jc w:val="center"/>
              <w:rPr>
                <w:b/>
                <w:noProof/>
                <w:sz w:val="20"/>
              </w:rPr>
            </w:pPr>
            <w:r>
              <w:rPr>
                <w:b/>
                <w:noProof/>
                <w:sz w:val="20"/>
              </w:rPr>
              <w:t>ΣΥΝΟΛΟ</w:t>
            </w:r>
          </w:p>
        </w:tc>
      </w:tr>
      <w:tr w:rsidR="00A57BFD">
        <w:trPr>
          <w:trHeight w:val="433"/>
          <w:jc w:val="center"/>
        </w:trPr>
        <w:tc>
          <w:tcPr>
            <w:tcW w:w="3495" w:type="dxa"/>
            <w:vAlign w:val="center"/>
          </w:tcPr>
          <w:p w:rsidR="00A57BFD" w:rsidRDefault="005B0D19">
            <w:pPr>
              <w:jc w:val="left"/>
              <w:rPr>
                <w:noProof/>
                <w:sz w:val="20"/>
              </w:rPr>
            </w:pPr>
            <w:r>
              <w:rPr>
                <w:noProof/>
                <w:sz w:val="20"/>
              </w:rPr>
              <w:t>08.02.YY Γεωργικό αποθεματικό</w:t>
            </w:r>
          </w:p>
        </w:tc>
        <w:tc>
          <w:tcPr>
            <w:tcW w:w="1417" w:type="dxa"/>
            <w:vAlign w:val="center"/>
          </w:tcPr>
          <w:p w:rsidR="00A57BFD" w:rsidRDefault="005B0D19">
            <w:pPr>
              <w:spacing w:before="20" w:after="20"/>
              <w:jc w:val="left"/>
              <w:rPr>
                <w:noProof/>
                <w:sz w:val="18"/>
              </w:rPr>
            </w:pPr>
            <w:r>
              <w:rPr>
                <w:noProof/>
                <w:sz w:val="18"/>
              </w:rPr>
              <w:t>Αναλήψεις υποχρεώσεων = Πληρωμές</w:t>
            </w:r>
          </w:p>
        </w:tc>
        <w:tc>
          <w:tcPr>
            <w:tcW w:w="709" w:type="dxa"/>
            <w:vAlign w:val="center"/>
          </w:tcPr>
          <w:p w:rsidR="00A57BFD" w:rsidRDefault="005B0D19">
            <w:pPr>
              <w:spacing w:before="20" w:after="20"/>
              <w:jc w:val="center"/>
              <w:rPr>
                <w:noProof/>
                <w:sz w:val="14"/>
              </w:rPr>
            </w:pPr>
            <w:r>
              <w:rPr>
                <w:noProof/>
                <w:sz w:val="14"/>
              </w:rPr>
              <w:t>(1)</w:t>
            </w:r>
          </w:p>
        </w:tc>
        <w:tc>
          <w:tcPr>
            <w:tcW w:w="974" w:type="dxa"/>
            <w:vAlign w:val="center"/>
          </w:tcPr>
          <w:p w:rsidR="00A57BFD" w:rsidRDefault="005B0D19">
            <w:pPr>
              <w:spacing w:before="20" w:after="20"/>
              <w:jc w:val="right"/>
              <w:rPr>
                <w:noProof/>
                <w:sz w:val="16"/>
                <w:szCs w:val="16"/>
              </w:rPr>
            </w:pPr>
            <w:r>
              <w:rPr>
                <w:noProof/>
                <w:sz w:val="16"/>
              </w:rPr>
              <w:t>π.υ.</w:t>
            </w:r>
          </w:p>
        </w:tc>
        <w:tc>
          <w:tcPr>
            <w:tcW w:w="975" w:type="dxa"/>
            <w:vAlign w:val="center"/>
          </w:tcPr>
          <w:p w:rsidR="00A57BFD" w:rsidRDefault="005B0D19">
            <w:pPr>
              <w:spacing w:before="20" w:after="20"/>
              <w:jc w:val="right"/>
              <w:rPr>
                <w:noProof/>
                <w:sz w:val="16"/>
                <w:szCs w:val="16"/>
              </w:rPr>
            </w:pPr>
            <w:r>
              <w:rPr>
                <w:noProof/>
                <w:sz w:val="16"/>
              </w:rPr>
              <w:t>π.υ.</w:t>
            </w:r>
          </w:p>
        </w:tc>
        <w:tc>
          <w:tcPr>
            <w:tcW w:w="974" w:type="dxa"/>
            <w:vAlign w:val="center"/>
          </w:tcPr>
          <w:p w:rsidR="00A57BFD" w:rsidRDefault="005B0D19">
            <w:pPr>
              <w:spacing w:before="20" w:after="20"/>
              <w:jc w:val="right"/>
              <w:rPr>
                <w:noProof/>
                <w:sz w:val="16"/>
                <w:szCs w:val="16"/>
              </w:rPr>
            </w:pPr>
            <w:r>
              <w:rPr>
                <w:noProof/>
                <w:sz w:val="16"/>
              </w:rPr>
              <w:t>π.υ.</w:t>
            </w:r>
          </w:p>
        </w:tc>
        <w:tc>
          <w:tcPr>
            <w:tcW w:w="975" w:type="dxa"/>
            <w:vAlign w:val="center"/>
          </w:tcPr>
          <w:p w:rsidR="00A57BFD" w:rsidRDefault="005B0D19">
            <w:pPr>
              <w:spacing w:before="20" w:after="20"/>
              <w:jc w:val="right"/>
              <w:rPr>
                <w:noProof/>
                <w:sz w:val="16"/>
                <w:szCs w:val="16"/>
              </w:rPr>
            </w:pPr>
            <w:r>
              <w:rPr>
                <w:noProof/>
                <w:sz w:val="16"/>
              </w:rPr>
              <w:t>π.υ.</w:t>
            </w:r>
          </w:p>
        </w:tc>
        <w:tc>
          <w:tcPr>
            <w:tcW w:w="974" w:type="dxa"/>
            <w:vAlign w:val="center"/>
          </w:tcPr>
          <w:p w:rsidR="00A57BFD" w:rsidRDefault="005B0D19">
            <w:pPr>
              <w:spacing w:before="20" w:after="20"/>
              <w:jc w:val="right"/>
              <w:rPr>
                <w:noProof/>
                <w:sz w:val="16"/>
                <w:szCs w:val="16"/>
              </w:rPr>
            </w:pPr>
            <w:r>
              <w:rPr>
                <w:noProof/>
                <w:sz w:val="16"/>
              </w:rPr>
              <w:t>π.υ.</w:t>
            </w:r>
          </w:p>
        </w:tc>
        <w:tc>
          <w:tcPr>
            <w:tcW w:w="975" w:type="dxa"/>
            <w:vAlign w:val="center"/>
          </w:tcPr>
          <w:p w:rsidR="00A57BFD" w:rsidRDefault="005B0D19">
            <w:pPr>
              <w:spacing w:before="20" w:after="20"/>
              <w:jc w:val="right"/>
              <w:rPr>
                <w:noProof/>
                <w:sz w:val="16"/>
                <w:szCs w:val="16"/>
              </w:rPr>
            </w:pPr>
            <w:r>
              <w:rPr>
                <w:noProof/>
                <w:sz w:val="16"/>
              </w:rPr>
              <w:t>π.υ.</w:t>
            </w:r>
          </w:p>
        </w:tc>
        <w:tc>
          <w:tcPr>
            <w:tcW w:w="974" w:type="dxa"/>
            <w:vAlign w:val="center"/>
          </w:tcPr>
          <w:p w:rsidR="00A57BFD" w:rsidRDefault="005B0D19">
            <w:pPr>
              <w:spacing w:before="20" w:after="20"/>
              <w:jc w:val="right"/>
              <w:rPr>
                <w:noProof/>
                <w:sz w:val="16"/>
                <w:szCs w:val="16"/>
              </w:rPr>
            </w:pPr>
            <w:r>
              <w:rPr>
                <w:noProof/>
                <w:sz w:val="16"/>
              </w:rPr>
              <w:t>π.υ.</w:t>
            </w:r>
          </w:p>
        </w:tc>
        <w:tc>
          <w:tcPr>
            <w:tcW w:w="975" w:type="dxa"/>
            <w:shd w:val="clear" w:color="auto" w:fill="A6A6A6" w:themeFill="background1" w:themeFillShade="A6"/>
          </w:tcPr>
          <w:p w:rsidR="00A57BFD" w:rsidRDefault="00A57BFD">
            <w:pPr>
              <w:spacing w:before="20" w:after="20"/>
              <w:jc w:val="right"/>
              <w:rPr>
                <w:b/>
                <w:noProof/>
                <w:sz w:val="20"/>
              </w:rPr>
            </w:pPr>
          </w:p>
        </w:tc>
        <w:tc>
          <w:tcPr>
            <w:tcW w:w="1054" w:type="dxa"/>
            <w:vAlign w:val="center"/>
          </w:tcPr>
          <w:p w:rsidR="00A57BFD" w:rsidRDefault="005B0D19">
            <w:pPr>
              <w:spacing w:before="20" w:after="20"/>
              <w:jc w:val="right"/>
              <w:rPr>
                <w:b/>
                <w:noProof/>
                <w:sz w:val="16"/>
                <w:szCs w:val="16"/>
              </w:rPr>
            </w:pPr>
            <w:r>
              <w:rPr>
                <w:b/>
                <w:noProof/>
                <w:sz w:val="16"/>
              </w:rPr>
              <w:t>π.υ.</w:t>
            </w:r>
          </w:p>
        </w:tc>
      </w:tr>
      <w:tr w:rsidR="00A57BFD">
        <w:trPr>
          <w:trHeight w:val="433"/>
          <w:jc w:val="center"/>
        </w:trPr>
        <w:tc>
          <w:tcPr>
            <w:tcW w:w="3495" w:type="dxa"/>
            <w:vAlign w:val="center"/>
          </w:tcPr>
          <w:p w:rsidR="00A57BFD" w:rsidRDefault="005B0D19">
            <w:pPr>
              <w:jc w:val="left"/>
              <w:rPr>
                <w:noProof/>
                <w:sz w:val="20"/>
              </w:rPr>
            </w:pPr>
            <w:r>
              <w:rPr>
                <w:noProof/>
                <w:sz w:val="20"/>
              </w:rPr>
              <w:t>08.02.YY –Τομεακοί τύποι παρεμβάσεων</w:t>
            </w:r>
            <w:r>
              <w:rPr>
                <w:noProof/>
              </w:rPr>
              <w:t xml:space="preserve"> στο πλαίσιο του σχεδίου της ΚΓΠ</w:t>
            </w:r>
            <w:r>
              <w:rPr>
                <w:noProof/>
                <w:sz w:val="20"/>
              </w:rPr>
              <w:t xml:space="preserve"> </w:t>
            </w:r>
            <w:r>
              <w:rPr>
                <w:rStyle w:val="af7"/>
                <w:noProof/>
                <w:sz w:val="20"/>
              </w:rPr>
              <w:footnoteReference w:id="45"/>
            </w:r>
          </w:p>
        </w:tc>
        <w:tc>
          <w:tcPr>
            <w:tcW w:w="1417" w:type="dxa"/>
            <w:vAlign w:val="center"/>
          </w:tcPr>
          <w:p w:rsidR="00A57BFD" w:rsidRDefault="005B0D19">
            <w:pPr>
              <w:spacing w:before="20" w:after="20"/>
              <w:jc w:val="left"/>
              <w:rPr>
                <w:noProof/>
                <w:sz w:val="18"/>
              </w:rPr>
            </w:pPr>
            <w:r>
              <w:rPr>
                <w:noProof/>
                <w:sz w:val="18"/>
              </w:rPr>
              <w:t>Αναλήψεις υποχρεώσεων = Πληρωμές</w:t>
            </w:r>
          </w:p>
        </w:tc>
        <w:tc>
          <w:tcPr>
            <w:tcW w:w="709" w:type="dxa"/>
            <w:vAlign w:val="center"/>
          </w:tcPr>
          <w:p w:rsidR="00A57BFD" w:rsidRDefault="005B0D19">
            <w:pPr>
              <w:spacing w:before="20" w:after="20"/>
              <w:jc w:val="center"/>
              <w:rPr>
                <w:noProof/>
                <w:sz w:val="14"/>
              </w:rPr>
            </w:pPr>
            <w:r>
              <w:rPr>
                <w:noProof/>
                <w:sz w:val="14"/>
              </w:rPr>
              <w:t>(2)</w:t>
            </w:r>
          </w:p>
        </w:tc>
        <w:tc>
          <w:tcPr>
            <w:tcW w:w="974" w:type="dxa"/>
            <w:vAlign w:val="center"/>
          </w:tcPr>
          <w:p w:rsidR="00A57BFD" w:rsidRDefault="005B0D19">
            <w:pPr>
              <w:spacing w:before="20" w:after="20"/>
              <w:jc w:val="right"/>
              <w:rPr>
                <w:noProof/>
                <w:sz w:val="16"/>
                <w:szCs w:val="16"/>
              </w:rPr>
            </w:pPr>
            <w:r>
              <w:rPr>
                <w:noProof/>
                <w:color w:val="000000"/>
                <w:sz w:val="16"/>
              </w:rPr>
              <w:t>2.044,116</w:t>
            </w:r>
          </w:p>
        </w:tc>
        <w:tc>
          <w:tcPr>
            <w:tcW w:w="975" w:type="dxa"/>
            <w:vAlign w:val="center"/>
          </w:tcPr>
          <w:p w:rsidR="00A57BFD" w:rsidRDefault="005B0D19">
            <w:pPr>
              <w:spacing w:before="20" w:after="20"/>
              <w:jc w:val="right"/>
              <w:rPr>
                <w:noProof/>
                <w:sz w:val="16"/>
                <w:szCs w:val="16"/>
              </w:rPr>
            </w:pPr>
            <w:r>
              <w:rPr>
                <w:noProof/>
                <w:color w:val="000000"/>
                <w:sz w:val="16"/>
              </w:rPr>
              <w:t>2.066,584</w:t>
            </w:r>
          </w:p>
        </w:tc>
        <w:tc>
          <w:tcPr>
            <w:tcW w:w="974" w:type="dxa"/>
            <w:vAlign w:val="center"/>
          </w:tcPr>
          <w:p w:rsidR="00A57BFD" w:rsidRDefault="005B0D19">
            <w:pPr>
              <w:spacing w:before="20" w:after="20"/>
              <w:jc w:val="right"/>
              <w:rPr>
                <w:noProof/>
                <w:sz w:val="16"/>
                <w:szCs w:val="16"/>
              </w:rPr>
            </w:pPr>
            <w:r>
              <w:rPr>
                <w:noProof/>
                <w:color w:val="000000"/>
                <w:sz w:val="16"/>
              </w:rPr>
              <w:t>2.091,060</w:t>
            </w:r>
          </w:p>
        </w:tc>
        <w:tc>
          <w:tcPr>
            <w:tcW w:w="975" w:type="dxa"/>
            <w:vAlign w:val="center"/>
          </w:tcPr>
          <w:p w:rsidR="00A57BFD" w:rsidRDefault="005B0D19">
            <w:pPr>
              <w:spacing w:before="20" w:after="20"/>
              <w:jc w:val="right"/>
              <w:rPr>
                <w:noProof/>
                <w:sz w:val="16"/>
                <w:szCs w:val="16"/>
              </w:rPr>
            </w:pPr>
            <w:r>
              <w:rPr>
                <w:noProof/>
                <w:color w:val="000000"/>
                <w:sz w:val="16"/>
              </w:rPr>
              <w:t>2.115,010</w:t>
            </w:r>
          </w:p>
        </w:tc>
        <w:tc>
          <w:tcPr>
            <w:tcW w:w="974" w:type="dxa"/>
            <w:vAlign w:val="center"/>
          </w:tcPr>
          <w:p w:rsidR="00A57BFD" w:rsidRDefault="005B0D19">
            <w:pPr>
              <w:spacing w:before="20" w:after="20"/>
              <w:jc w:val="right"/>
              <w:rPr>
                <w:noProof/>
                <w:sz w:val="16"/>
                <w:szCs w:val="16"/>
              </w:rPr>
            </w:pPr>
            <w:r>
              <w:rPr>
                <w:noProof/>
                <w:color w:val="000000"/>
                <w:sz w:val="16"/>
              </w:rPr>
              <w:t>2.139,737</w:t>
            </w:r>
          </w:p>
        </w:tc>
        <w:tc>
          <w:tcPr>
            <w:tcW w:w="975" w:type="dxa"/>
            <w:vAlign w:val="center"/>
          </w:tcPr>
          <w:p w:rsidR="00A57BFD" w:rsidRDefault="005B0D19">
            <w:pPr>
              <w:spacing w:before="20" w:after="20"/>
              <w:jc w:val="right"/>
              <w:rPr>
                <w:noProof/>
                <w:sz w:val="16"/>
                <w:szCs w:val="16"/>
              </w:rPr>
            </w:pPr>
            <w:r>
              <w:rPr>
                <w:noProof/>
                <w:color w:val="000000"/>
                <w:sz w:val="16"/>
              </w:rPr>
              <w:t>2.165,443</w:t>
            </w:r>
          </w:p>
        </w:tc>
        <w:tc>
          <w:tcPr>
            <w:tcW w:w="974" w:type="dxa"/>
            <w:vAlign w:val="center"/>
          </w:tcPr>
          <w:p w:rsidR="00A57BFD" w:rsidRDefault="005B0D19">
            <w:pPr>
              <w:spacing w:before="20" w:after="20"/>
              <w:jc w:val="right"/>
              <w:rPr>
                <w:b/>
                <w:noProof/>
                <w:sz w:val="16"/>
                <w:szCs w:val="16"/>
              </w:rPr>
            </w:pPr>
            <w:r>
              <w:rPr>
                <w:noProof/>
                <w:color w:val="000000"/>
                <w:sz w:val="16"/>
              </w:rPr>
              <w:t>2.192,347</w:t>
            </w:r>
          </w:p>
        </w:tc>
        <w:tc>
          <w:tcPr>
            <w:tcW w:w="975" w:type="dxa"/>
            <w:shd w:val="clear" w:color="auto" w:fill="A6A6A6" w:themeFill="background1" w:themeFillShade="A6"/>
            <w:vAlign w:val="center"/>
          </w:tcPr>
          <w:p w:rsidR="00A57BFD" w:rsidRDefault="00A57BFD">
            <w:pPr>
              <w:spacing w:before="20" w:after="20"/>
              <w:jc w:val="right"/>
              <w:rPr>
                <w:b/>
                <w:noProof/>
                <w:sz w:val="16"/>
                <w:szCs w:val="16"/>
              </w:rPr>
            </w:pPr>
          </w:p>
        </w:tc>
        <w:tc>
          <w:tcPr>
            <w:tcW w:w="1054" w:type="dxa"/>
            <w:vAlign w:val="center"/>
          </w:tcPr>
          <w:p w:rsidR="00A57BFD" w:rsidRDefault="005B0D19">
            <w:pPr>
              <w:spacing w:before="20" w:after="20"/>
              <w:jc w:val="right"/>
              <w:rPr>
                <w:b/>
                <w:noProof/>
                <w:sz w:val="16"/>
                <w:szCs w:val="16"/>
              </w:rPr>
            </w:pPr>
            <w:r>
              <w:rPr>
                <w:b/>
                <w:noProof/>
                <w:color w:val="000000"/>
                <w:sz w:val="16"/>
              </w:rPr>
              <w:t>14.814,294</w:t>
            </w:r>
          </w:p>
        </w:tc>
      </w:tr>
      <w:tr w:rsidR="00A57BFD">
        <w:trPr>
          <w:trHeight w:val="433"/>
          <w:jc w:val="center"/>
        </w:trPr>
        <w:tc>
          <w:tcPr>
            <w:tcW w:w="3495" w:type="dxa"/>
            <w:vMerge w:val="restart"/>
            <w:vAlign w:val="center"/>
          </w:tcPr>
          <w:p w:rsidR="00A57BFD" w:rsidRDefault="005B0D19">
            <w:pPr>
              <w:jc w:val="left"/>
              <w:rPr>
                <w:noProof/>
                <w:sz w:val="20"/>
              </w:rPr>
            </w:pPr>
            <w:r>
              <w:rPr>
                <w:noProof/>
                <w:sz w:val="20"/>
              </w:rPr>
              <w:t>08.02.YY – Δαπάνες σχετικές με την αγορά, εκτός του σχεδίου της ΚΓΠ</w:t>
            </w:r>
          </w:p>
        </w:tc>
        <w:tc>
          <w:tcPr>
            <w:tcW w:w="1417" w:type="dxa"/>
            <w:vAlign w:val="center"/>
          </w:tcPr>
          <w:p w:rsidR="00A57BFD" w:rsidRDefault="005B0D19">
            <w:pPr>
              <w:spacing w:before="20" w:after="20"/>
              <w:jc w:val="left"/>
              <w:rPr>
                <w:noProof/>
                <w:sz w:val="18"/>
              </w:rPr>
            </w:pPr>
            <w:r>
              <w:rPr>
                <w:noProof/>
                <w:sz w:val="18"/>
              </w:rPr>
              <w:t>Αναλήψεις υποχρεώσεων</w:t>
            </w:r>
          </w:p>
        </w:tc>
        <w:tc>
          <w:tcPr>
            <w:tcW w:w="709" w:type="dxa"/>
            <w:vAlign w:val="center"/>
          </w:tcPr>
          <w:p w:rsidR="00A57BFD" w:rsidRDefault="005B0D19">
            <w:pPr>
              <w:spacing w:before="20" w:after="20"/>
              <w:jc w:val="center"/>
              <w:rPr>
                <w:noProof/>
                <w:sz w:val="14"/>
              </w:rPr>
            </w:pPr>
            <w:r>
              <w:rPr>
                <w:noProof/>
                <w:sz w:val="14"/>
              </w:rPr>
              <w:t>(3)</w:t>
            </w:r>
          </w:p>
        </w:tc>
        <w:tc>
          <w:tcPr>
            <w:tcW w:w="974" w:type="dxa"/>
            <w:vAlign w:val="center"/>
          </w:tcPr>
          <w:p w:rsidR="00A57BFD" w:rsidRDefault="005B0D19">
            <w:pPr>
              <w:spacing w:before="20" w:after="20"/>
              <w:jc w:val="right"/>
              <w:rPr>
                <w:noProof/>
                <w:sz w:val="16"/>
                <w:szCs w:val="16"/>
              </w:rPr>
            </w:pPr>
            <w:r>
              <w:rPr>
                <w:noProof/>
                <w:color w:val="000000"/>
                <w:sz w:val="16"/>
              </w:rPr>
              <w:t>638,309</w:t>
            </w:r>
          </w:p>
        </w:tc>
        <w:tc>
          <w:tcPr>
            <w:tcW w:w="975" w:type="dxa"/>
            <w:vAlign w:val="center"/>
          </w:tcPr>
          <w:p w:rsidR="00A57BFD" w:rsidRDefault="005B0D19">
            <w:pPr>
              <w:spacing w:before="20" w:after="20"/>
              <w:jc w:val="right"/>
              <w:rPr>
                <w:noProof/>
                <w:sz w:val="16"/>
                <w:szCs w:val="16"/>
              </w:rPr>
            </w:pPr>
            <w:r>
              <w:rPr>
                <w:noProof/>
                <w:color w:val="000000"/>
                <w:sz w:val="16"/>
              </w:rPr>
              <w:t>638,309</w:t>
            </w:r>
          </w:p>
        </w:tc>
        <w:tc>
          <w:tcPr>
            <w:tcW w:w="974" w:type="dxa"/>
            <w:vAlign w:val="center"/>
          </w:tcPr>
          <w:p w:rsidR="00A57BFD" w:rsidRDefault="005B0D19">
            <w:pPr>
              <w:spacing w:before="20" w:after="20"/>
              <w:jc w:val="right"/>
              <w:rPr>
                <w:noProof/>
                <w:sz w:val="16"/>
                <w:szCs w:val="16"/>
              </w:rPr>
            </w:pPr>
            <w:r>
              <w:rPr>
                <w:noProof/>
                <w:color w:val="000000"/>
                <w:sz w:val="16"/>
              </w:rPr>
              <w:t>638,309</w:t>
            </w:r>
          </w:p>
        </w:tc>
        <w:tc>
          <w:tcPr>
            <w:tcW w:w="975" w:type="dxa"/>
            <w:vAlign w:val="center"/>
          </w:tcPr>
          <w:p w:rsidR="00A57BFD" w:rsidRDefault="005B0D19">
            <w:pPr>
              <w:spacing w:before="20" w:after="20"/>
              <w:jc w:val="right"/>
              <w:rPr>
                <w:noProof/>
                <w:sz w:val="16"/>
                <w:szCs w:val="16"/>
              </w:rPr>
            </w:pPr>
            <w:r>
              <w:rPr>
                <w:noProof/>
                <w:color w:val="000000"/>
                <w:sz w:val="16"/>
              </w:rPr>
              <w:t>638,309</w:t>
            </w:r>
          </w:p>
        </w:tc>
        <w:tc>
          <w:tcPr>
            <w:tcW w:w="974" w:type="dxa"/>
            <w:vAlign w:val="center"/>
          </w:tcPr>
          <w:p w:rsidR="00A57BFD" w:rsidRDefault="005B0D19">
            <w:pPr>
              <w:spacing w:before="20" w:after="20"/>
              <w:jc w:val="right"/>
              <w:rPr>
                <w:noProof/>
                <w:sz w:val="16"/>
                <w:szCs w:val="16"/>
              </w:rPr>
            </w:pPr>
            <w:r>
              <w:rPr>
                <w:noProof/>
                <w:color w:val="000000"/>
                <w:sz w:val="16"/>
              </w:rPr>
              <w:t>638,309</w:t>
            </w:r>
          </w:p>
        </w:tc>
        <w:tc>
          <w:tcPr>
            <w:tcW w:w="975" w:type="dxa"/>
            <w:vAlign w:val="center"/>
          </w:tcPr>
          <w:p w:rsidR="00A57BFD" w:rsidRDefault="005B0D19">
            <w:pPr>
              <w:spacing w:before="20" w:after="20"/>
              <w:jc w:val="right"/>
              <w:rPr>
                <w:noProof/>
                <w:sz w:val="16"/>
                <w:szCs w:val="16"/>
              </w:rPr>
            </w:pPr>
            <w:r>
              <w:rPr>
                <w:noProof/>
                <w:color w:val="000000"/>
                <w:sz w:val="16"/>
              </w:rPr>
              <w:t>638,309</w:t>
            </w:r>
          </w:p>
        </w:tc>
        <w:tc>
          <w:tcPr>
            <w:tcW w:w="974" w:type="dxa"/>
            <w:vAlign w:val="center"/>
          </w:tcPr>
          <w:p w:rsidR="00A57BFD" w:rsidRDefault="005B0D19">
            <w:pPr>
              <w:spacing w:before="20" w:after="20"/>
              <w:jc w:val="right"/>
              <w:rPr>
                <w:noProof/>
                <w:sz w:val="16"/>
                <w:szCs w:val="16"/>
              </w:rPr>
            </w:pPr>
            <w:r>
              <w:rPr>
                <w:noProof/>
                <w:color w:val="000000"/>
                <w:sz w:val="16"/>
              </w:rPr>
              <w:t>638,309</w:t>
            </w:r>
          </w:p>
        </w:tc>
        <w:tc>
          <w:tcPr>
            <w:tcW w:w="975" w:type="dxa"/>
            <w:shd w:val="clear" w:color="auto" w:fill="A6A6A6" w:themeFill="background1" w:themeFillShade="A6"/>
            <w:vAlign w:val="center"/>
          </w:tcPr>
          <w:p w:rsidR="00A57BFD" w:rsidRDefault="00A57BFD">
            <w:pPr>
              <w:spacing w:before="20" w:after="20"/>
              <w:jc w:val="right"/>
              <w:rPr>
                <w:b/>
                <w:noProof/>
                <w:sz w:val="16"/>
                <w:szCs w:val="16"/>
              </w:rPr>
            </w:pPr>
          </w:p>
        </w:tc>
        <w:tc>
          <w:tcPr>
            <w:tcW w:w="1054" w:type="dxa"/>
            <w:vAlign w:val="center"/>
          </w:tcPr>
          <w:p w:rsidR="00A57BFD" w:rsidRDefault="005B0D19">
            <w:pPr>
              <w:spacing w:before="20" w:after="20"/>
              <w:jc w:val="right"/>
              <w:rPr>
                <w:b/>
                <w:noProof/>
                <w:sz w:val="16"/>
                <w:szCs w:val="16"/>
              </w:rPr>
            </w:pPr>
            <w:r>
              <w:rPr>
                <w:b/>
                <w:noProof/>
                <w:color w:val="000000"/>
                <w:sz w:val="16"/>
              </w:rPr>
              <w:t>4.468,163</w:t>
            </w:r>
          </w:p>
        </w:tc>
      </w:tr>
      <w:tr w:rsidR="00A57BFD">
        <w:trPr>
          <w:trHeight w:val="433"/>
          <w:jc w:val="center"/>
        </w:trPr>
        <w:tc>
          <w:tcPr>
            <w:tcW w:w="3495" w:type="dxa"/>
            <w:vMerge/>
            <w:tcBorders>
              <w:bottom w:val="single" w:sz="4" w:space="0" w:color="auto"/>
            </w:tcBorders>
            <w:vAlign w:val="center"/>
          </w:tcPr>
          <w:p w:rsidR="00A57BFD" w:rsidRDefault="00A57BFD">
            <w:pPr>
              <w:jc w:val="left"/>
              <w:rPr>
                <w:noProof/>
                <w:sz w:val="20"/>
              </w:rPr>
            </w:pPr>
          </w:p>
        </w:tc>
        <w:tc>
          <w:tcPr>
            <w:tcW w:w="1417" w:type="dxa"/>
            <w:tcBorders>
              <w:bottom w:val="single" w:sz="4" w:space="0" w:color="auto"/>
            </w:tcBorders>
            <w:vAlign w:val="center"/>
          </w:tcPr>
          <w:p w:rsidR="00A57BFD" w:rsidRDefault="005B0D19">
            <w:pPr>
              <w:spacing w:before="20" w:after="20"/>
              <w:jc w:val="left"/>
              <w:rPr>
                <w:noProof/>
                <w:sz w:val="18"/>
              </w:rPr>
            </w:pPr>
            <w:r>
              <w:rPr>
                <w:noProof/>
                <w:sz w:val="18"/>
              </w:rPr>
              <w:t>Πληρωμές</w:t>
            </w:r>
          </w:p>
        </w:tc>
        <w:tc>
          <w:tcPr>
            <w:tcW w:w="709" w:type="dxa"/>
            <w:tcBorders>
              <w:bottom w:val="single" w:sz="4" w:space="0" w:color="auto"/>
            </w:tcBorders>
            <w:vAlign w:val="center"/>
          </w:tcPr>
          <w:p w:rsidR="00A57BFD" w:rsidRDefault="005B0D19">
            <w:pPr>
              <w:spacing w:before="20" w:after="20"/>
              <w:jc w:val="center"/>
              <w:rPr>
                <w:noProof/>
                <w:sz w:val="14"/>
              </w:rPr>
            </w:pPr>
            <w:r>
              <w:rPr>
                <w:noProof/>
                <w:sz w:val="14"/>
              </w:rPr>
              <w:t>(4)</w:t>
            </w:r>
          </w:p>
        </w:tc>
        <w:tc>
          <w:tcPr>
            <w:tcW w:w="974" w:type="dxa"/>
            <w:tcBorders>
              <w:bottom w:val="single" w:sz="4" w:space="0" w:color="auto"/>
            </w:tcBorders>
            <w:vAlign w:val="center"/>
          </w:tcPr>
          <w:p w:rsidR="00A57BFD" w:rsidRDefault="005B0D19">
            <w:pPr>
              <w:spacing w:before="20" w:after="20"/>
              <w:jc w:val="right"/>
              <w:rPr>
                <w:noProof/>
                <w:sz w:val="16"/>
                <w:szCs w:val="16"/>
              </w:rPr>
            </w:pPr>
            <w:r>
              <w:rPr>
                <w:noProof/>
                <w:color w:val="000000"/>
                <w:sz w:val="16"/>
              </w:rPr>
              <w:t>605,136</w:t>
            </w:r>
          </w:p>
        </w:tc>
        <w:tc>
          <w:tcPr>
            <w:tcW w:w="975" w:type="dxa"/>
            <w:tcBorders>
              <w:bottom w:val="single" w:sz="4" w:space="0" w:color="auto"/>
            </w:tcBorders>
            <w:vAlign w:val="center"/>
          </w:tcPr>
          <w:p w:rsidR="00A57BFD" w:rsidRDefault="005B0D19">
            <w:pPr>
              <w:spacing w:before="20" w:after="20"/>
              <w:jc w:val="right"/>
              <w:rPr>
                <w:noProof/>
                <w:sz w:val="16"/>
                <w:szCs w:val="16"/>
              </w:rPr>
            </w:pPr>
            <w:r>
              <w:rPr>
                <w:noProof/>
                <w:color w:val="000000"/>
                <w:sz w:val="16"/>
              </w:rPr>
              <w:t>611,601</w:t>
            </w:r>
          </w:p>
        </w:tc>
        <w:tc>
          <w:tcPr>
            <w:tcW w:w="974" w:type="dxa"/>
            <w:tcBorders>
              <w:bottom w:val="single" w:sz="4" w:space="0" w:color="auto"/>
            </w:tcBorders>
            <w:vAlign w:val="center"/>
          </w:tcPr>
          <w:p w:rsidR="00A57BFD" w:rsidRDefault="005B0D19">
            <w:pPr>
              <w:spacing w:before="20" w:after="20"/>
              <w:jc w:val="right"/>
              <w:rPr>
                <w:noProof/>
                <w:sz w:val="16"/>
                <w:szCs w:val="16"/>
              </w:rPr>
            </w:pPr>
            <w:r>
              <w:rPr>
                <w:noProof/>
                <w:color w:val="000000"/>
                <w:sz w:val="16"/>
              </w:rPr>
              <w:t>623,808</w:t>
            </w:r>
          </w:p>
        </w:tc>
        <w:tc>
          <w:tcPr>
            <w:tcW w:w="975" w:type="dxa"/>
            <w:tcBorders>
              <w:bottom w:val="single" w:sz="4" w:space="0" w:color="auto"/>
            </w:tcBorders>
            <w:vAlign w:val="center"/>
          </w:tcPr>
          <w:p w:rsidR="00A57BFD" w:rsidRDefault="005B0D19">
            <w:pPr>
              <w:spacing w:before="20" w:after="20"/>
              <w:jc w:val="right"/>
              <w:rPr>
                <w:noProof/>
                <w:sz w:val="16"/>
                <w:szCs w:val="16"/>
              </w:rPr>
            </w:pPr>
            <w:r>
              <w:rPr>
                <w:noProof/>
                <w:color w:val="000000"/>
                <w:sz w:val="16"/>
              </w:rPr>
              <w:t>627,643</w:t>
            </w:r>
          </w:p>
        </w:tc>
        <w:tc>
          <w:tcPr>
            <w:tcW w:w="974" w:type="dxa"/>
            <w:tcBorders>
              <w:bottom w:val="single" w:sz="4" w:space="0" w:color="auto"/>
            </w:tcBorders>
            <w:vAlign w:val="center"/>
          </w:tcPr>
          <w:p w:rsidR="00A57BFD" w:rsidRDefault="005B0D19">
            <w:pPr>
              <w:spacing w:before="20" w:after="20"/>
              <w:jc w:val="right"/>
              <w:rPr>
                <w:noProof/>
                <w:sz w:val="16"/>
                <w:szCs w:val="16"/>
              </w:rPr>
            </w:pPr>
            <w:r>
              <w:rPr>
                <w:noProof/>
                <w:color w:val="000000"/>
                <w:sz w:val="16"/>
              </w:rPr>
              <w:t>629,770</w:t>
            </w:r>
          </w:p>
        </w:tc>
        <w:tc>
          <w:tcPr>
            <w:tcW w:w="975" w:type="dxa"/>
            <w:tcBorders>
              <w:bottom w:val="single" w:sz="4" w:space="0" w:color="auto"/>
            </w:tcBorders>
            <w:vAlign w:val="center"/>
          </w:tcPr>
          <w:p w:rsidR="00A57BFD" w:rsidRDefault="005B0D19">
            <w:pPr>
              <w:spacing w:before="20" w:after="20"/>
              <w:jc w:val="right"/>
              <w:rPr>
                <w:noProof/>
                <w:sz w:val="16"/>
                <w:szCs w:val="16"/>
              </w:rPr>
            </w:pPr>
            <w:r>
              <w:rPr>
                <w:noProof/>
                <w:color w:val="000000"/>
                <w:sz w:val="16"/>
              </w:rPr>
              <w:t>630,334</w:t>
            </w:r>
          </w:p>
        </w:tc>
        <w:tc>
          <w:tcPr>
            <w:tcW w:w="974" w:type="dxa"/>
            <w:tcBorders>
              <w:bottom w:val="single" w:sz="4" w:space="0" w:color="auto"/>
            </w:tcBorders>
            <w:vAlign w:val="center"/>
          </w:tcPr>
          <w:p w:rsidR="00A57BFD" w:rsidRDefault="005B0D19">
            <w:pPr>
              <w:spacing w:before="20" w:after="20"/>
              <w:jc w:val="right"/>
              <w:rPr>
                <w:noProof/>
                <w:sz w:val="16"/>
                <w:szCs w:val="16"/>
              </w:rPr>
            </w:pPr>
            <w:r>
              <w:rPr>
                <w:noProof/>
                <w:color w:val="000000"/>
                <w:sz w:val="16"/>
              </w:rPr>
              <w:t>630,314</w:t>
            </w:r>
          </w:p>
        </w:tc>
        <w:tc>
          <w:tcPr>
            <w:tcW w:w="975" w:type="dxa"/>
            <w:tcBorders>
              <w:bottom w:val="single" w:sz="4" w:space="0" w:color="auto"/>
            </w:tcBorders>
            <w:shd w:val="clear" w:color="auto" w:fill="FFFFFF" w:themeFill="background1"/>
            <w:vAlign w:val="center"/>
          </w:tcPr>
          <w:p w:rsidR="00A57BFD" w:rsidRDefault="005B0D19">
            <w:pPr>
              <w:spacing w:before="0" w:after="0"/>
              <w:jc w:val="right"/>
              <w:rPr>
                <w:b/>
                <w:noProof/>
                <w:sz w:val="16"/>
                <w:szCs w:val="16"/>
              </w:rPr>
            </w:pPr>
            <w:r>
              <w:rPr>
                <w:noProof/>
                <w:color w:val="000000"/>
                <w:sz w:val="16"/>
              </w:rPr>
              <w:t>109,558</w:t>
            </w:r>
          </w:p>
        </w:tc>
        <w:tc>
          <w:tcPr>
            <w:tcW w:w="1054" w:type="dxa"/>
            <w:tcBorders>
              <w:bottom w:val="single" w:sz="4" w:space="0" w:color="auto"/>
            </w:tcBorders>
            <w:vAlign w:val="center"/>
          </w:tcPr>
          <w:p w:rsidR="00A57BFD" w:rsidRDefault="005B0D19">
            <w:pPr>
              <w:spacing w:before="20" w:after="20"/>
              <w:jc w:val="right"/>
              <w:rPr>
                <w:b/>
                <w:noProof/>
                <w:sz w:val="16"/>
                <w:szCs w:val="16"/>
              </w:rPr>
            </w:pPr>
            <w:r>
              <w:rPr>
                <w:b/>
                <w:noProof/>
                <w:color w:val="000000"/>
                <w:sz w:val="16"/>
              </w:rPr>
              <w:t>4.468,164</w:t>
            </w:r>
          </w:p>
        </w:tc>
      </w:tr>
      <w:tr w:rsidR="00A57BFD">
        <w:trPr>
          <w:trHeight w:val="433"/>
          <w:jc w:val="center"/>
        </w:trPr>
        <w:tc>
          <w:tcPr>
            <w:tcW w:w="3495" w:type="dxa"/>
            <w:tcBorders>
              <w:bottom w:val="nil"/>
            </w:tcBorders>
            <w:vAlign w:val="center"/>
          </w:tcPr>
          <w:p w:rsidR="00A57BFD" w:rsidRDefault="005B0D19">
            <w:pPr>
              <w:jc w:val="left"/>
              <w:rPr>
                <w:noProof/>
                <w:sz w:val="20"/>
              </w:rPr>
            </w:pPr>
            <w:r>
              <w:rPr>
                <w:noProof/>
                <w:sz w:val="20"/>
              </w:rPr>
              <w:t>08 02 YY – Τύποι παρεμβάσεων άμεσων ενισχύσεων</w:t>
            </w:r>
          </w:p>
        </w:tc>
        <w:tc>
          <w:tcPr>
            <w:tcW w:w="1417" w:type="dxa"/>
            <w:tcBorders>
              <w:bottom w:val="nil"/>
            </w:tcBorders>
          </w:tcPr>
          <w:p w:rsidR="00A57BFD" w:rsidRDefault="005B0D19">
            <w:pPr>
              <w:spacing w:before="20" w:after="20"/>
              <w:jc w:val="left"/>
              <w:rPr>
                <w:noProof/>
                <w:sz w:val="18"/>
              </w:rPr>
            </w:pPr>
            <w:r>
              <w:rPr>
                <w:noProof/>
                <w:sz w:val="18"/>
              </w:rPr>
              <w:t>Αναλήψεις υποχρεώσεων = Πληρωμές</w:t>
            </w:r>
          </w:p>
        </w:tc>
        <w:tc>
          <w:tcPr>
            <w:tcW w:w="709" w:type="dxa"/>
            <w:tcBorders>
              <w:bottom w:val="nil"/>
            </w:tcBorders>
            <w:vAlign w:val="center"/>
          </w:tcPr>
          <w:p w:rsidR="00A57BFD" w:rsidRDefault="005B0D19">
            <w:pPr>
              <w:spacing w:before="20" w:after="20"/>
              <w:jc w:val="center"/>
              <w:rPr>
                <w:noProof/>
                <w:sz w:val="14"/>
              </w:rPr>
            </w:pPr>
            <w:r>
              <w:rPr>
                <w:noProof/>
                <w:sz w:val="14"/>
              </w:rPr>
              <w:t>(5)</w:t>
            </w:r>
          </w:p>
        </w:tc>
        <w:tc>
          <w:tcPr>
            <w:tcW w:w="974" w:type="dxa"/>
            <w:tcBorders>
              <w:bottom w:val="nil"/>
            </w:tcBorders>
            <w:vAlign w:val="center"/>
          </w:tcPr>
          <w:p w:rsidR="00A57BFD" w:rsidRDefault="005B0D19">
            <w:pPr>
              <w:spacing w:before="20" w:after="20"/>
              <w:jc w:val="right"/>
              <w:rPr>
                <w:noProof/>
                <w:sz w:val="16"/>
                <w:szCs w:val="16"/>
              </w:rPr>
            </w:pPr>
            <w:r>
              <w:rPr>
                <w:noProof/>
                <w:color w:val="000000"/>
                <w:sz w:val="16"/>
              </w:rPr>
              <w:t>37.392,689</w:t>
            </w:r>
          </w:p>
        </w:tc>
        <w:tc>
          <w:tcPr>
            <w:tcW w:w="975" w:type="dxa"/>
            <w:tcBorders>
              <w:bottom w:val="nil"/>
            </w:tcBorders>
            <w:vAlign w:val="center"/>
          </w:tcPr>
          <w:p w:rsidR="00A57BFD" w:rsidRDefault="005B0D19">
            <w:pPr>
              <w:spacing w:before="20" w:after="20"/>
              <w:jc w:val="right"/>
              <w:rPr>
                <w:noProof/>
                <w:sz w:val="16"/>
                <w:szCs w:val="16"/>
              </w:rPr>
            </w:pPr>
            <w:r>
              <w:rPr>
                <w:noProof/>
                <w:color w:val="000000"/>
                <w:sz w:val="16"/>
              </w:rPr>
              <w:t>37.547,129</w:t>
            </w:r>
          </w:p>
        </w:tc>
        <w:tc>
          <w:tcPr>
            <w:tcW w:w="974" w:type="dxa"/>
            <w:tcBorders>
              <w:bottom w:val="nil"/>
            </w:tcBorders>
            <w:vAlign w:val="center"/>
          </w:tcPr>
          <w:p w:rsidR="00A57BFD" w:rsidRDefault="005B0D19">
            <w:pPr>
              <w:spacing w:before="20" w:after="20"/>
              <w:jc w:val="right"/>
              <w:rPr>
                <w:noProof/>
                <w:sz w:val="16"/>
                <w:szCs w:val="16"/>
              </w:rPr>
            </w:pPr>
            <w:r>
              <w:rPr>
                <w:noProof/>
                <w:color w:val="000000"/>
                <w:sz w:val="16"/>
              </w:rPr>
              <w:t>37.686,679</w:t>
            </w:r>
          </w:p>
        </w:tc>
        <w:tc>
          <w:tcPr>
            <w:tcW w:w="975" w:type="dxa"/>
            <w:tcBorders>
              <w:bottom w:val="nil"/>
            </w:tcBorders>
            <w:vAlign w:val="center"/>
          </w:tcPr>
          <w:p w:rsidR="00A57BFD" w:rsidRDefault="005B0D19">
            <w:pPr>
              <w:spacing w:before="20" w:after="20"/>
              <w:jc w:val="right"/>
              <w:rPr>
                <w:noProof/>
                <w:sz w:val="16"/>
                <w:szCs w:val="16"/>
              </w:rPr>
            </w:pPr>
            <w:r>
              <w:rPr>
                <w:noProof/>
                <w:color w:val="000000"/>
                <w:sz w:val="16"/>
              </w:rPr>
              <w:t>37.802,859</w:t>
            </w:r>
          </w:p>
        </w:tc>
        <w:tc>
          <w:tcPr>
            <w:tcW w:w="974" w:type="dxa"/>
            <w:tcBorders>
              <w:bottom w:val="nil"/>
            </w:tcBorders>
            <w:vAlign w:val="center"/>
          </w:tcPr>
          <w:p w:rsidR="00A57BFD" w:rsidRDefault="005B0D19">
            <w:pPr>
              <w:spacing w:before="20" w:after="20"/>
              <w:jc w:val="right"/>
              <w:rPr>
                <w:noProof/>
                <w:sz w:val="16"/>
                <w:szCs w:val="16"/>
              </w:rPr>
            </w:pPr>
            <w:r>
              <w:rPr>
                <w:noProof/>
                <w:color w:val="000000"/>
                <w:sz w:val="16"/>
              </w:rPr>
              <w:t>37.919,038</w:t>
            </w:r>
          </w:p>
        </w:tc>
        <w:tc>
          <w:tcPr>
            <w:tcW w:w="975" w:type="dxa"/>
            <w:tcBorders>
              <w:bottom w:val="nil"/>
            </w:tcBorders>
            <w:vAlign w:val="center"/>
          </w:tcPr>
          <w:p w:rsidR="00A57BFD" w:rsidRDefault="005B0D19">
            <w:pPr>
              <w:spacing w:before="20" w:after="20"/>
              <w:jc w:val="right"/>
              <w:rPr>
                <w:noProof/>
                <w:sz w:val="16"/>
                <w:szCs w:val="16"/>
              </w:rPr>
            </w:pPr>
            <w:r>
              <w:rPr>
                <w:noProof/>
                <w:color w:val="000000"/>
                <w:sz w:val="16"/>
              </w:rPr>
              <w:t>38.035,217</w:t>
            </w:r>
          </w:p>
        </w:tc>
        <w:tc>
          <w:tcPr>
            <w:tcW w:w="974" w:type="dxa"/>
            <w:tcBorders>
              <w:bottom w:val="nil"/>
            </w:tcBorders>
            <w:vAlign w:val="center"/>
          </w:tcPr>
          <w:p w:rsidR="00A57BFD" w:rsidRDefault="005B0D19">
            <w:pPr>
              <w:spacing w:before="20" w:after="20"/>
              <w:jc w:val="right"/>
              <w:rPr>
                <w:b/>
                <w:noProof/>
                <w:sz w:val="16"/>
                <w:szCs w:val="16"/>
              </w:rPr>
            </w:pPr>
            <w:r>
              <w:rPr>
                <w:noProof/>
                <w:color w:val="000000"/>
                <w:sz w:val="16"/>
              </w:rPr>
              <w:t>38.151,396</w:t>
            </w:r>
          </w:p>
        </w:tc>
        <w:tc>
          <w:tcPr>
            <w:tcW w:w="975" w:type="dxa"/>
            <w:tcBorders>
              <w:bottom w:val="nil"/>
            </w:tcBorders>
            <w:shd w:val="clear" w:color="auto" w:fill="A6A6A6" w:themeFill="background1" w:themeFillShade="A6"/>
            <w:vAlign w:val="center"/>
          </w:tcPr>
          <w:p w:rsidR="00A57BFD" w:rsidRDefault="005B0D19">
            <w:pPr>
              <w:spacing w:before="20" w:after="20"/>
              <w:jc w:val="right"/>
              <w:rPr>
                <w:b/>
                <w:noProof/>
                <w:sz w:val="16"/>
                <w:szCs w:val="16"/>
              </w:rPr>
            </w:pPr>
            <w:r>
              <w:rPr>
                <w:b/>
                <w:noProof/>
                <w:color w:val="000000"/>
                <w:sz w:val="20"/>
              </w:rPr>
              <w:t> </w:t>
            </w:r>
          </w:p>
        </w:tc>
        <w:tc>
          <w:tcPr>
            <w:tcW w:w="1054" w:type="dxa"/>
            <w:tcBorders>
              <w:bottom w:val="nil"/>
            </w:tcBorders>
            <w:vAlign w:val="center"/>
          </w:tcPr>
          <w:p w:rsidR="00A57BFD" w:rsidRDefault="005B0D19">
            <w:pPr>
              <w:spacing w:before="20" w:after="20"/>
              <w:jc w:val="right"/>
              <w:rPr>
                <w:b/>
                <w:noProof/>
                <w:sz w:val="16"/>
                <w:szCs w:val="16"/>
              </w:rPr>
            </w:pPr>
            <w:r>
              <w:rPr>
                <w:b/>
                <w:noProof/>
                <w:color w:val="000000"/>
                <w:sz w:val="16"/>
              </w:rPr>
              <w:t>264.535,007</w:t>
            </w:r>
          </w:p>
        </w:tc>
      </w:tr>
      <w:tr w:rsidR="00A57BFD">
        <w:trPr>
          <w:trHeight w:val="433"/>
          <w:jc w:val="center"/>
        </w:trPr>
        <w:tc>
          <w:tcPr>
            <w:tcW w:w="3495" w:type="dxa"/>
            <w:vAlign w:val="center"/>
          </w:tcPr>
          <w:p w:rsidR="00A57BFD" w:rsidRDefault="005B0D19">
            <w:pPr>
              <w:jc w:val="left"/>
              <w:rPr>
                <w:noProof/>
                <w:sz w:val="20"/>
              </w:rPr>
            </w:pPr>
            <w:r>
              <w:rPr>
                <w:noProof/>
                <w:sz w:val="20"/>
              </w:rPr>
              <w:t>08.02.YY – Άμεσες ενισχύσεις εκτός του σχεδίου της ΚΓΠ</w:t>
            </w:r>
          </w:p>
        </w:tc>
        <w:tc>
          <w:tcPr>
            <w:tcW w:w="1417" w:type="dxa"/>
          </w:tcPr>
          <w:p w:rsidR="00A57BFD" w:rsidRDefault="005B0D19">
            <w:pPr>
              <w:spacing w:before="20" w:after="20"/>
              <w:jc w:val="left"/>
              <w:rPr>
                <w:noProof/>
                <w:sz w:val="18"/>
              </w:rPr>
            </w:pPr>
            <w:r>
              <w:rPr>
                <w:noProof/>
                <w:sz w:val="18"/>
              </w:rPr>
              <w:t>Αναλήψεις υποχρεώσεων = Πληρωμές</w:t>
            </w:r>
          </w:p>
        </w:tc>
        <w:tc>
          <w:tcPr>
            <w:tcW w:w="709" w:type="dxa"/>
            <w:vAlign w:val="center"/>
          </w:tcPr>
          <w:p w:rsidR="00A57BFD" w:rsidRDefault="005B0D19">
            <w:pPr>
              <w:spacing w:before="20" w:after="20"/>
              <w:jc w:val="center"/>
              <w:rPr>
                <w:noProof/>
                <w:sz w:val="14"/>
              </w:rPr>
            </w:pPr>
            <w:r>
              <w:rPr>
                <w:noProof/>
                <w:sz w:val="14"/>
              </w:rPr>
              <w:t>(6)</w:t>
            </w:r>
          </w:p>
        </w:tc>
        <w:tc>
          <w:tcPr>
            <w:tcW w:w="974" w:type="dxa"/>
            <w:vAlign w:val="center"/>
          </w:tcPr>
          <w:p w:rsidR="00A57BFD" w:rsidRDefault="005B0D19">
            <w:pPr>
              <w:spacing w:before="20" w:after="20"/>
              <w:jc w:val="right"/>
              <w:rPr>
                <w:noProof/>
                <w:sz w:val="16"/>
                <w:szCs w:val="16"/>
              </w:rPr>
            </w:pPr>
            <w:r>
              <w:rPr>
                <w:noProof/>
                <w:color w:val="000000"/>
                <w:sz w:val="16"/>
              </w:rPr>
              <w:t>421,321</w:t>
            </w:r>
          </w:p>
        </w:tc>
        <w:tc>
          <w:tcPr>
            <w:tcW w:w="975" w:type="dxa"/>
            <w:vAlign w:val="center"/>
          </w:tcPr>
          <w:p w:rsidR="00A57BFD" w:rsidRDefault="005B0D19">
            <w:pPr>
              <w:spacing w:before="20" w:after="20"/>
              <w:jc w:val="right"/>
              <w:rPr>
                <w:noProof/>
                <w:sz w:val="16"/>
                <w:szCs w:val="16"/>
              </w:rPr>
            </w:pPr>
            <w:r>
              <w:rPr>
                <w:noProof/>
                <w:color w:val="000000"/>
                <w:sz w:val="16"/>
              </w:rPr>
              <w:t>421,321</w:t>
            </w:r>
          </w:p>
        </w:tc>
        <w:tc>
          <w:tcPr>
            <w:tcW w:w="974" w:type="dxa"/>
            <w:vAlign w:val="center"/>
          </w:tcPr>
          <w:p w:rsidR="00A57BFD" w:rsidRDefault="005B0D19">
            <w:pPr>
              <w:spacing w:before="20" w:after="20"/>
              <w:jc w:val="right"/>
              <w:rPr>
                <w:noProof/>
                <w:sz w:val="16"/>
                <w:szCs w:val="16"/>
              </w:rPr>
            </w:pPr>
            <w:r>
              <w:rPr>
                <w:noProof/>
                <w:color w:val="000000"/>
                <w:sz w:val="16"/>
              </w:rPr>
              <w:t>421,321</w:t>
            </w:r>
          </w:p>
        </w:tc>
        <w:tc>
          <w:tcPr>
            <w:tcW w:w="975" w:type="dxa"/>
            <w:vAlign w:val="center"/>
          </w:tcPr>
          <w:p w:rsidR="00A57BFD" w:rsidRDefault="005B0D19">
            <w:pPr>
              <w:spacing w:before="20" w:after="20"/>
              <w:jc w:val="right"/>
              <w:rPr>
                <w:noProof/>
                <w:sz w:val="16"/>
                <w:szCs w:val="16"/>
              </w:rPr>
            </w:pPr>
            <w:r>
              <w:rPr>
                <w:noProof/>
                <w:color w:val="000000"/>
                <w:sz w:val="16"/>
              </w:rPr>
              <w:t>421,321</w:t>
            </w:r>
          </w:p>
        </w:tc>
        <w:tc>
          <w:tcPr>
            <w:tcW w:w="974" w:type="dxa"/>
            <w:vAlign w:val="center"/>
          </w:tcPr>
          <w:p w:rsidR="00A57BFD" w:rsidRDefault="005B0D19">
            <w:pPr>
              <w:spacing w:before="20" w:after="20"/>
              <w:jc w:val="right"/>
              <w:rPr>
                <w:noProof/>
                <w:sz w:val="16"/>
                <w:szCs w:val="16"/>
              </w:rPr>
            </w:pPr>
            <w:r>
              <w:rPr>
                <w:noProof/>
                <w:color w:val="000000"/>
                <w:sz w:val="16"/>
              </w:rPr>
              <w:t>421,321</w:t>
            </w:r>
          </w:p>
        </w:tc>
        <w:tc>
          <w:tcPr>
            <w:tcW w:w="975" w:type="dxa"/>
            <w:vAlign w:val="center"/>
          </w:tcPr>
          <w:p w:rsidR="00A57BFD" w:rsidRDefault="005B0D19">
            <w:pPr>
              <w:spacing w:before="20" w:after="20"/>
              <w:jc w:val="right"/>
              <w:rPr>
                <w:noProof/>
                <w:sz w:val="16"/>
                <w:szCs w:val="16"/>
              </w:rPr>
            </w:pPr>
            <w:r>
              <w:rPr>
                <w:noProof/>
                <w:color w:val="000000"/>
                <w:sz w:val="16"/>
              </w:rPr>
              <w:t>421,321</w:t>
            </w:r>
          </w:p>
        </w:tc>
        <w:tc>
          <w:tcPr>
            <w:tcW w:w="974" w:type="dxa"/>
            <w:vAlign w:val="center"/>
          </w:tcPr>
          <w:p w:rsidR="00A57BFD" w:rsidRDefault="005B0D19">
            <w:pPr>
              <w:spacing w:before="20" w:after="20"/>
              <w:jc w:val="right"/>
              <w:rPr>
                <w:noProof/>
                <w:sz w:val="16"/>
                <w:szCs w:val="16"/>
              </w:rPr>
            </w:pPr>
            <w:r>
              <w:rPr>
                <w:noProof/>
                <w:color w:val="000000"/>
                <w:sz w:val="16"/>
              </w:rPr>
              <w:t>421,321</w:t>
            </w:r>
          </w:p>
        </w:tc>
        <w:tc>
          <w:tcPr>
            <w:tcW w:w="975" w:type="dxa"/>
            <w:shd w:val="clear" w:color="auto" w:fill="A6A6A6" w:themeFill="background1" w:themeFillShade="A6"/>
            <w:vAlign w:val="center"/>
          </w:tcPr>
          <w:p w:rsidR="00A57BFD" w:rsidRDefault="005B0D19">
            <w:pPr>
              <w:spacing w:before="20" w:after="20"/>
              <w:jc w:val="right"/>
              <w:rPr>
                <w:b/>
                <w:noProof/>
                <w:sz w:val="16"/>
                <w:szCs w:val="16"/>
              </w:rPr>
            </w:pPr>
            <w:r>
              <w:rPr>
                <w:b/>
                <w:noProof/>
                <w:color w:val="000000"/>
                <w:sz w:val="20"/>
              </w:rPr>
              <w:t> </w:t>
            </w:r>
          </w:p>
        </w:tc>
        <w:tc>
          <w:tcPr>
            <w:tcW w:w="1054" w:type="dxa"/>
            <w:vAlign w:val="center"/>
          </w:tcPr>
          <w:p w:rsidR="00A57BFD" w:rsidRDefault="005B0D19">
            <w:pPr>
              <w:spacing w:before="20" w:after="20"/>
              <w:jc w:val="right"/>
              <w:rPr>
                <w:b/>
                <w:noProof/>
                <w:sz w:val="16"/>
                <w:szCs w:val="16"/>
              </w:rPr>
            </w:pPr>
            <w:r>
              <w:rPr>
                <w:b/>
                <w:noProof/>
                <w:color w:val="000000"/>
                <w:sz w:val="16"/>
              </w:rPr>
              <w:t>2.949,249</w:t>
            </w:r>
          </w:p>
        </w:tc>
      </w:tr>
      <w:tr w:rsidR="00A57BFD">
        <w:trPr>
          <w:trHeight w:val="433"/>
          <w:jc w:val="center"/>
        </w:trPr>
        <w:tc>
          <w:tcPr>
            <w:tcW w:w="3495" w:type="dxa"/>
            <w:vAlign w:val="center"/>
          </w:tcPr>
          <w:p w:rsidR="00A57BFD" w:rsidRDefault="005B0D19">
            <w:pPr>
              <w:jc w:val="left"/>
              <w:rPr>
                <w:noProof/>
                <w:sz w:val="20"/>
              </w:rPr>
            </w:pPr>
            <w:r>
              <w:rPr>
                <w:noProof/>
                <w:sz w:val="20"/>
              </w:rPr>
              <w:t>08.02.YY– Επιχειρησιακή τεχνική βοήθεια ΕΓΤΕ</w:t>
            </w:r>
            <w:r>
              <w:rPr>
                <w:rStyle w:val="af7"/>
                <w:noProof/>
                <w:sz w:val="20"/>
              </w:rPr>
              <w:footnoteReference w:id="46"/>
            </w:r>
          </w:p>
        </w:tc>
        <w:tc>
          <w:tcPr>
            <w:tcW w:w="1417" w:type="dxa"/>
          </w:tcPr>
          <w:p w:rsidR="00A57BFD" w:rsidRDefault="005B0D19">
            <w:pPr>
              <w:spacing w:before="20" w:after="20"/>
              <w:jc w:val="left"/>
              <w:rPr>
                <w:noProof/>
                <w:sz w:val="18"/>
              </w:rPr>
            </w:pPr>
            <w:r>
              <w:rPr>
                <w:noProof/>
                <w:sz w:val="18"/>
              </w:rPr>
              <w:t>Αναλήψεις υποχρεώσεων = Πληρωμές</w:t>
            </w:r>
            <w:r>
              <w:rPr>
                <w:rStyle w:val="af7"/>
                <w:noProof/>
                <w:sz w:val="18"/>
              </w:rPr>
              <w:footnoteReference w:id="47"/>
            </w:r>
          </w:p>
        </w:tc>
        <w:tc>
          <w:tcPr>
            <w:tcW w:w="709" w:type="dxa"/>
            <w:vAlign w:val="center"/>
          </w:tcPr>
          <w:p w:rsidR="00A57BFD" w:rsidRDefault="005B0D19">
            <w:pPr>
              <w:spacing w:before="20" w:after="20"/>
              <w:jc w:val="center"/>
              <w:rPr>
                <w:noProof/>
                <w:sz w:val="14"/>
              </w:rPr>
            </w:pPr>
            <w:r>
              <w:rPr>
                <w:noProof/>
                <w:sz w:val="14"/>
              </w:rPr>
              <w:t>(7)</w:t>
            </w:r>
          </w:p>
        </w:tc>
        <w:tc>
          <w:tcPr>
            <w:tcW w:w="974" w:type="dxa"/>
            <w:vAlign w:val="center"/>
          </w:tcPr>
          <w:p w:rsidR="00A57BFD" w:rsidRDefault="005B0D19">
            <w:pPr>
              <w:spacing w:before="20" w:after="20"/>
              <w:jc w:val="right"/>
              <w:rPr>
                <w:noProof/>
                <w:sz w:val="16"/>
                <w:szCs w:val="16"/>
              </w:rPr>
            </w:pPr>
            <w:r>
              <w:rPr>
                <w:noProof/>
                <w:color w:val="000000"/>
                <w:sz w:val="16"/>
              </w:rPr>
              <w:t>71,000</w:t>
            </w:r>
          </w:p>
        </w:tc>
        <w:tc>
          <w:tcPr>
            <w:tcW w:w="975" w:type="dxa"/>
            <w:vAlign w:val="center"/>
          </w:tcPr>
          <w:p w:rsidR="00A57BFD" w:rsidRDefault="005B0D19">
            <w:pPr>
              <w:spacing w:before="20" w:after="20"/>
              <w:jc w:val="right"/>
              <w:rPr>
                <w:noProof/>
                <w:sz w:val="16"/>
                <w:szCs w:val="16"/>
              </w:rPr>
            </w:pPr>
            <w:r>
              <w:rPr>
                <w:noProof/>
                <w:color w:val="000000"/>
                <w:sz w:val="16"/>
              </w:rPr>
              <w:t>71,000</w:t>
            </w:r>
          </w:p>
        </w:tc>
        <w:tc>
          <w:tcPr>
            <w:tcW w:w="974" w:type="dxa"/>
            <w:vAlign w:val="center"/>
          </w:tcPr>
          <w:p w:rsidR="00A57BFD" w:rsidRDefault="005B0D19">
            <w:pPr>
              <w:spacing w:before="20" w:after="20"/>
              <w:jc w:val="right"/>
              <w:rPr>
                <w:noProof/>
                <w:sz w:val="16"/>
                <w:szCs w:val="16"/>
              </w:rPr>
            </w:pPr>
            <w:r>
              <w:rPr>
                <w:noProof/>
                <w:color w:val="000000"/>
                <w:sz w:val="16"/>
              </w:rPr>
              <w:t>71,000</w:t>
            </w:r>
          </w:p>
        </w:tc>
        <w:tc>
          <w:tcPr>
            <w:tcW w:w="975" w:type="dxa"/>
            <w:vAlign w:val="center"/>
          </w:tcPr>
          <w:p w:rsidR="00A57BFD" w:rsidRDefault="005B0D19">
            <w:pPr>
              <w:spacing w:before="20" w:after="20"/>
              <w:jc w:val="right"/>
              <w:rPr>
                <w:noProof/>
                <w:sz w:val="16"/>
                <w:szCs w:val="16"/>
              </w:rPr>
            </w:pPr>
            <w:r>
              <w:rPr>
                <w:noProof/>
                <w:color w:val="000000"/>
                <w:sz w:val="16"/>
              </w:rPr>
              <w:t>71,000</w:t>
            </w:r>
          </w:p>
        </w:tc>
        <w:tc>
          <w:tcPr>
            <w:tcW w:w="974" w:type="dxa"/>
            <w:vAlign w:val="center"/>
          </w:tcPr>
          <w:p w:rsidR="00A57BFD" w:rsidRDefault="005B0D19">
            <w:pPr>
              <w:spacing w:before="20" w:after="20"/>
              <w:jc w:val="right"/>
              <w:rPr>
                <w:noProof/>
                <w:sz w:val="16"/>
                <w:szCs w:val="16"/>
              </w:rPr>
            </w:pPr>
            <w:r>
              <w:rPr>
                <w:noProof/>
                <w:color w:val="000000"/>
                <w:sz w:val="16"/>
              </w:rPr>
              <w:t>71,000</w:t>
            </w:r>
          </w:p>
        </w:tc>
        <w:tc>
          <w:tcPr>
            <w:tcW w:w="975" w:type="dxa"/>
            <w:vAlign w:val="center"/>
          </w:tcPr>
          <w:p w:rsidR="00A57BFD" w:rsidRDefault="005B0D19">
            <w:pPr>
              <w:spacing w:before="20" w:after="20"/>
              <w:jc w:val="right"/>
              <w:rPr>
                <w:noProof/>
                <w:sz w:val="16"/>
                <w:szCs w:val="16"/>
              </w:rPr>
            </w:pPr>
            <w:r>
              <w:rPr>
                <w:noProof/>
                <w:color w:val="000000"/>
                <w:sz w:val="16"/>
              </w:rPr>
              <w:t>71,000</w:t>
            </w:r>
          </w:p>
        </w:tc>
        <w:tc>
          <w:tcPr>
            <w:tcW w:w="974" w:type="dxa"/>
            <w:vAlign w:val="center"/>
          </w:tcPr>
          <w:p w:rsidR="00A57BFD" w:rsidRDefault="005B0D19">
            <w:pPr>
              <w:spacing w:before="20" w:after="20"/>
              <w:jc w:val="right"/>
              <w:rPr>
                <w:noProof/>
                <w:sz w:val="16"/>
                <w:szCs w:val="16"/>
              </w:rPr>
            </w:pPr>
            <w:r>
              <w:rPr>
                <w:noProof/>
                <w:color w:val="000000"/>
                <w:sz w:val="16"/>
              </w:rPr>
              <w:t>71,000</w:t>
            </w:r>
          </w:p>
        </w:tc>
        <w:tc>
          <w:tcPr>
            <w:tcW w:w="975" w:type="dxa"/>
            <w:shd w:val="clear" w:color="auto" w:fill="A6A6A6" w:themeFill="background1" w:themeFillShade="A6"/>
            <w:vAlign w:val="center"/>
          </w:tcPr>
          <w:p w:rsidR="00A57BFD" w:rsidRDefault="00A57BFD">
            <w:pPr>
              <w:spacing w:before="20" w:after="20"/>
              <w:jc w:val="right"/>
              <w:rPr>
                <w:b/>
                <w:noProof/>
                <w:sz w:val="16"/>
                <w:szCs w:val="16"/>
              </w:rPr>
            </w:pPr>
          </w:p>
        </w:tc>
        <w:tc>
          <w:tcPr>
            <w:tcW w:w="1054" w:type="dxa"/>
            <w:vAlign w:val="center"/>
          </w:tcPr>
          <w:p w:rsidR="00A57BFD" w:rsidRDefault="005B0D19">
            <w:pPr>
              <w:spacing w:before="20" w:after="20"/>
              <w:jc w:val="right"/>
              <w:rPr>
                <w:b/>
                <w:noProof/>
                <w:sz w:val="16"/>
                <w:szCs w:val="16"/>
              </w:rPr>
            </w:pPr>
            <w:r>
              <w:rPr>
                <w:b/>
                <w:noProof/>
                <w:color w:val="000000"/>
                <w:sz w:val="16"/>
              </w:rPr>
              <w:t>497,000</w:t>
            </w:r>
          </w:p>
        </w:tc>
      </w:tr>
      <w:tr w:rsidR="00A57BFD">
        <w:trPr>
          <w:trHeight w:val="305"/>
          <w:jc w:val="center"/>
        </w:trPr>
        <w:tc>
          <w:tcPr>
            <w:tcW w:w="3495" w:type="dxa"/>
            <w:vAlign w:val="center"/>
          </w:tcPr>
          <w:p w:rsidR="00A57BFD" w:rsidRDefault="005B0D19">
            <w:pPr>
              <w:spacing w:before="0" w:after="0"/>
              <w:jc w:val="left"/>
              <w:rPr>
                <w:noProof/>
                <w:sz w:val="20"/>
              </w:rPr>
            </w:pPr>
            <w:r>
              <w:rPr>
                <w:noProof/>
                <w:sz w:val="20"/>
              </w:rPr>
              <w:lastRenderedPageBreak/>
              <w:t>08 01 YY – Πιστώσεις διοικητικού χαρακτήρα χρηματοδοτούμενες από το ΕΓΤΕ</w:t>
            </w:r>
            <w:r>
              <w:rPr>
                <w:rStyle w:val="af7"/>
                <w:noProof/>
                <w:sz w:val="20"/>
              </w:rPr>
              <w:footnoteReference w:id="48"/>
            </w:r>
          </w:p>
        </w:tc>
        <w:tc>
          <w:tcPr>
            <w:tcW w:w="1417" w:type="dxa"/>
          </w:tcPr>
          <w:p w:rsidR="00A57BFD" w:rsidRDefault="005B0D19">
            <w:pPr>
              <w:spacing w:before="20" w:after="20"/>
              <w:jc w:val="left"/>
              <w:rPr>
                <w:noProof/>
                <w:sz w:val="18"/>
              </w:rPr>
            </w:pPr>
            <w:r>
              <w:rPr>
                <w:noProof/>
                <w:sz w:val="18"/>
              </w:rPr>
              <w:t>Αναλήψεις υποχρεώσεων = Πληρωμές</w:t>
            </w:r>
          </w:p>
        </w:tc>
        <w:tc>
          <w:tcPr>
            <w:tcW w:w="709" w:type="dxa"/>
            <w:vAlign w:val="center"/>
          </w:tcPr>
          <w:p w:rsidR="00A57BFD" w:rsidRDefault="005B0D19">
            <w:pPr>
              <w:spacing w:before="20" w:after="20"/>
              <w:jc w:val="center"/>
              <w:rPr>
                <w:noProof/>
                <w:sz w:val="14"/>
              </w:rPr>
            </w:pPr>
            <w:r>
              <w:rPr>
                <w:noProof/>
                <w:sz w:val="14"/>
              </w:rPr>
              <w:t>(8)</w:t>
            </w:r>
          </w:p>
        </w:tc>
        <w:tc>
          <w:tcPr>
            <w:tcW w:w="974" w:type="dxa"/>
            <w:vAlign w:val="center"/>
          </w:tcPr>
          <w:p w:rsidR="00A57BFD" w:rsidRDefault="005B0D19">
            <w:pPr>
              <w:spacing w:before="20" w:after="20"/>
              <w:jc w:val="right"/>
              <w:rPr>
                <w:noProof/>
                <w:sz w:val="16"/>
                <w:szCs w:val="16"/>
              </w:rPr>
            </w:pPr>
            <w:r>
              <w:rPr>
                <w:noProof/>
                <w:color w:val="000000"/>
                <w:sz w:val="16"/>
              </w:rPr>
              <w:t>13,000</w:t>
            </w:r>
          </w:p>
        </w:tc>
        <w:tc>
          <w:tcPr>
            <w:tcW w:w="975" w:type="dxa"/>
            <w:vAlign w:val="center"/>
          </w:tcPr>
          <w:p w:rsidR="00A57BFD" w:rsidRDefault="005B0D19">
            <w:pPr>
              <w:spacing w:before="20" w:after="20"/>
              <w:jc w:val="right"/>
              <w:rPr>
                <w:noProof/>
                <w:sz w:val="16"/>
                <w:szCs w:val="16"/>
              </w:rPr>
            </w:pPr>
            <w:r>
              <w:rPr>
                <w:noProof/>
                <w:color w:val="000000"/>
                <w:sz w:val="16"/>
              </w:rPr>
              <w:t>13,000</w:t>
            </w:r>
          </w:p>
        </w:tc>
        <w:tc>
          <w:tcPr>
            <w:tcW w:w="974" w:type="dxa"/>
            <w:vAlign w:val="center"/>
          </w:tcPr>
          <w:p w:rsidR="00A57BFD" w:rsidRDefault="005B0D19">
            <w:pPr>
              <w:spacing w:before="20" w:after="20"/>
              <w:jc w:val="right"/>
              <w:rPr>
                <w:noProof/>
                <w:sz w:val="16"/>
                <w:szCs w:val="16"/>
              </w:rPr>
            </w:pPr>
            <w:r>
              <w:rPr>
                <w:noProof/>
                <w:color w:val="000000"/>
                <w:sz w:val="16"/>
              </w:rPr>
              <w:t>13,000</w:t>
            </w:r>
          </w:p>
        </w:tc>
        <w:tc>
          <w:tcPr>
            <w:tcW w:w="975" w:type="dxa"/>
            <w:vAlign w:val="center"/>
          </w:tcPr>
          <w:p w:rsidR="00A57BFD" w:rsidRDefault="005B0D19">
            <w:pPr>
              <w:spacing w:before="20" w:after="20"/>
              <w:jc w:val="right"/>
              <w:rPr>
                <w:noProof/>
                <w:sz w:val="16"/>
                <w:szCs w:val="16"/>
              </w:rPr>
            </w:pPr>
            <w:r>
              <w:rPr>
                <w:noProof/>
                <w:color w:val="000000"/>
                <w:sz w:val="16"/>
              </w:rPr>
              <w:t>13,000</w:t>
            </w:r>
          </w:p>
        </w:tc>
        <w:tc>
          <w:tcPr>
            <w:tcW w:w="974" w:type="dxa"/>
            <w:vAlign w:val="center"/>
          </w:tcPr>
          <w:p w:rsidR="00A57BFD" w:rsidRDefault="005B0D19">
            <w:pPr>
              <w:spacing w:before="20" w:after="20"/>
              <w:jc w:val="right"/>
              <w:rPr>
                <w:noProof/>
                <w:sz w:val="16"/>
                <w:szCs w:val="16"/>
              </w:rPr>
            </w:pPr>
            <w:r>
              <w:rPr>
                <w:noProof/>
                <w:color w:val="000000"/>
                <w:sz w:val="16"/>
              </w:rPr>
              <w:t>13,000</w:t>
            </w:r>
          </w:p>
        </w:tc>
        <w:tc>
          <w:tcPr>
            <w:tcW w:w="975" w:type="dxa"/>
            <w:vAlign w:val="center"/>
          </w:tcPr>
          <w:p w:rsidR="00A57BFD" w:rsidRDefault="005B0D19">
            <w:pPr>
              <w:spacing w:before="20" w:after="20"/>
              <w:jc w:val="right"/>
              <w:rPr>
                <w:noProof/>
                <w:sz w:val="16"/>
                <w:szCs w:val="16"/>
              </w:rPr>
            </w:pPr>
            <w:r>
              <w:rPr>
                <w:noProof/>
                <w:color w:val="000000"/>
                <w:sz w:val="16"/>
              </w:rPr>
              <w:t>13,000</w:t>
            </w:r>
          </w:p>
        </w:tc>
        <w:tc>
          <w:tcPr>
            <w:tcW w:w="974" w:type="dxa"/>
            <w:vAlign w:val="center"/>
          </w:tcPr>
          <w:p w:rsidR="00A57BFD" w:rsidRDefault="005B0D19">
            <w:pPr>
              <w:spacing w:before="20" w:after="20"/>
              <w:jc w:val="right"/>
              <w:rPr>
                <w:b/>
                <w:noProof/>
                <w:sz w:val="16"/>
                <w:szCs w:val="16"/>
              </w:rPr>
            </w:pPr>
            <w:r>
              <w:rPr>
                <w:noProof/>
                <w:color w:val="000000"/>
                <w:sz w:val="16"/>
              </w:rPr>
              <w:t>13,000</w:t>
            </w:r>
          </w:p>
        </w:tc>
        <w:tc>
          <w:tcPr>
            <w:tcW w:w="975" w:type="dxa"/>
            <w:shd w:val="clear" w:color="auto" w:fill="A6A6A6" w:themeFill="background1" w:themeFillShade="A6"/>
            <w:vAlign w:val="center"/>
          </w:tcPr>
          <w:p w:rsidR="00A57BFD" w:rsidRDefault="00A57BFD">
            <w:pPr>
              <w:spacing w:before="20" w:after="20"/>
              <w:jc w:val="right"/>
              <w:rPr>
                <w:b/>
                <w:noProof/>
                <w:sz w:val="16"/>
                <w:szCs w:val="16"/>
              </w:rPr>
            </w:pPr>
          </w:p>
        </w:tc>
        <w:tc>
          <w:tcPr>
            <w:tcW w:w="1054" w:type="dxa"/>
            <w:vAlign w:val="center"/>
          </w:tcPr>
          <w:p w:rsidR="00A57BFD" w:rsidRDefault="005B0D19">
            <w:pPr>
              <w:spacing w:before="20" w:after="20"/>
              <w:jc w:val="right"/>
              <w:rPr>
                <w:b/>
                <w:noProof/>
                <w:sz w:val="16"/>
                <w:szCs w:val="16"/>
              </w:rPr>
            </w:pPr>
            <w:r>
              <w:rPr>
                <w:b/>
                <w:noProof/>
                <w:color w:val="000000"/>
                <w:sz w:val="16"/>
              </w:rPr>
              <w:t>91,000</w:t>
            </w:r>
          </w:p>
        </w:tc>
      </w:tr>
      <w:tr w:rsidR="00A57BFD">
        <w:trPr>
          <w:trHeight w:val="305"/>
          <w:jc w:val="center"/>
        </w:trPr>
        <w:tc>
          <w:tcPr>
            <w:tcW w:w="3495" w:type="dxa"/>
            <w:tcBorders>
              <w:bottom w:val="single" w:sz="12" w:space="0" w:color="auto"/>
            </w:tcBorders>
            <w:vAlign w:val="center"/>
          </w:tcPr>
          <w:p w:rsidR="00A57BFD" w:rsidRDefault="005B0D19">
            <w:pPr>
              <w:spacing w:before="0" w:after="0"/>
              <w:jc w:val="left"/>
              <w:rPr>
                <w:noProof/>
                <w:sz w:val="20"/>
              </w:rPr>
            </w:pPr>
            <w:r>
              <w:rPr>
                <w:noProof/>
                <w:sz w:val="20"/>
              </w:rPr>
              <w:t>67 01 &amp; 67 02 – Έσοδα ειδικού προορισμού του ΕΓΤΕ</w:t>
            </w:r>
          </w:p>
        </w:tc>
        <w:tc>
          <w:tcPr>
            <w:tcW w:w="1417" w:type="dxa"/>
            <w:tcBorders>
              <w:bottom w:val="single" w:sz="12" w:space="0" w:color="auto"/>
            </w:tcBorders>
          </w:tcPr>
          <w:p w:rsidR="00A57BFD" w:rsidRDefault="005B0D19">
            <w:pPr>
              <w:spacing w:before="20" w:after="20"/>
              <w:jc w:val="left"/>
              <w:rPr>
                <w:noProof/>
                <w:sz w:val="18"/>
              </w:rPr>
            </w:pPr>
            <w:r>
              <w:rPr>
                <w:noProof/>
                <w:sz w:val="18"/>
              </w:rPr>
              <w:t>Αναλήψεις υποχρεώσεων = Πληρωμές</w:t>
            </w:r>
          </w:p>
        </w:tc>
        <w:tc>
          <w:tcPr>
            <w:tcW w:w="709" w:type="dxa"/>
            <w:tcBorders>
              <w:bottom w:val="single" w:sz="12" w:space="0" w:color="auto"/>
            </w:tcBorders>
            <w:vAlign w:val="center"/>
          </w:tcPr>
          <w:p w:rsidR="00A57BFD" w:rsidRDefault="005B0D19">
            <w:pPr>
              <w:spacing w:before="20" w:after="20"/>
              <w:jc w:val="center"/>
              <w:rPr>
                <w:noProof/>
                <w:sz w:val="14"/>
              </w:rPr>
            </w:pPr>
            <w:r>
              <w:rPr>
                <w:noProof/>
                <w:sz w:val="14"/>
              </w:rPr>
              <w:t>(9)</w:t>
            </w:r>
          </w:p>
        </w:tc>
        <w:tc>
          <w:tcPr>
            <w:tcW w:w="974" w:type="dxa"/>
            <w:tcBorders>
              <w:bottom w:val="single" w:sz="12" w:space="0" w:color="auto"/>
            </w:tcBorders>
            <w:vAlign w:val="center"/>
          </w:tcPr>
          <w:p w:rsidR="00A57BFD" w:rsidRDefault="005B0D19">
            <w:pPr>
              <w:spacing w:before="20" w:after="20"/>
              <w:jc w:val="right"/>
              <w:rPr>
                <w:noProof/>
                <w:sz w:val="16"/>
                <w:szCs w:val="16"/>
              </w:rPr>
            </w:pPr>
            <w:r>
              <w:rPr>
                <w:noProof/>
                <w:color w:val="000000"/>
                <w:sz w:val="16"/>
              </w:rPr>
              <w:t>280,000</w:t>
            </w:r>
          </w:p>
        </w:tc>
        <w:tc>
          <w:tcPr>
            <w:tcW w:w="975" w:type="dxa"/>
            <w:tcBorders>
              <w:bottom w:val="single" w:sz="12" w:space="0" w:color="auto"/>
            </w:tcBorders>
            <w:vAlign w:val="center"/>
          </w:tcPr>
          <w:p w:rsidR="00A57BFD" w:rsidRDefault="005B0D19">
            <w:pPr>
              <w:spacing w:before="20" w:after="20"/>
              <w:jc w:val="right"/>
              <w:rPr>
                <w:noProof/>
                <w:sz w:val="16"/>
                <w:szCs w:val="16"/>
              </w:rPr>
            </w:pPr>
            <w:r>
              <w:rPr>
                <w:noProof/>
                <w:color w:val="000000"/>
                <w:sz w:val="16"/>
              </w:rPr>
              <w:t>230,000</w:t>
            </w:r>
          </w:p>
        </w:tc>
        <w:tc>
          <w:tcPr>
            <w:tcW w:w="974" w:type="dxa"/>
            <w:tcBorders>
              <w:bottom w:val="single" w:sz="12" w:space="0" w:color="auto"/>
            </w:tcBorders>
            <w:vAlign w:val="center"/>
          </w:tcPr>
          <w:p w:rsidR="00A57BFD" w:rsidRDefault="005B0D19">
            <w:pPr>
              <w:spacing w:before="20" w:after="20"/>
              <w:jc w:val="right"/>
              <w:rPr>
                <w:noProof/>
                <w:sz w:val="16"/>
                <w:szCs w:val="16"/>
              </w:rPr>
            </w:pPr>
            <w:r>
              <w:rPr>
                <w:noProof/>
                <w:color w:val="000000"/>
                <w:sz w:val="16"/>
              </w:rPr>
              <w:t>130,000</w:t>
            </w:r>
          </w:p>
        </w:tc>
        <w:tc>
          <w:tcPr>
            <w:tcW w:w="975" w:type="dxa"/>
            <w:tcBorders>
              <w:bottom w:val="single" w:sz="12" w:space="0" w:color="auto"/>
            </w:tcBorders>
            <w:vAlign w:val="center"/>
          </w:tcPr>
          <w:p w:rsidR="00A57BFD" w:rsidRDefault="005B0D19">
            <w:pPr>
              <w:spacing w:before="20" w:after="20"/>
              <w:jc w:val="right"/>
              <w:rPr>
                <w:noProof/>
                <w:sz w:val="16"/>
                <w:szCs w:val="16"/>
              </w:rPr>
            </w:pPr>
            <w:r>
              <w:rPr>
                <w:noProof/>
                <w:color w:val="000000"/>
                <w:sz w:val="16"/>
              </w:rPr>
              <w:t>130,000</w:t>
            </w:r>
          </w:p>
        </w:tc>
        <w:tc>
          <w:tcPr>
            <w:tcW w:w="974" w:type="dxa"/>
            <w:tcBorders>
              <w:bottom w:val="single" w:sz="12" w:space="0" w:color="auto"/>
            </w:tcBorders>
            <w:vAlign w:val="center"/>
          </w:tcPr>
          <w:p w:rsidR="00A57BFD" w:rsidRDefault="005B0D19">
            <w:pPr>
              <w:spacing w:before="20" w:after="20"/>
              <w:jc w:val="right"/>
              <w:rPr>
                <w:noProof/>
                <w:sz w:val="16"/>
                <w:szCs w:val="16"/>
              </w:rPr>
            </w:pPr>
            <w:r>
              <w:rPr>
                <w:noProof/>
                <w:color w:val="000000"/>
                <w:sz w:val="16"/>
              </w:rPr>
              <w:t>130,000</w:t>
            </w:r>
          </w:p>
        </w:tc>
        <w:tc>
          <w:tcPr>
            <w:tcW w:w="975" w:type="dxa"/>
            <w:tcBorders>
              <w:bottom w:val="single" w:sz="12" w:space="0" w:color="auto"/>
            </w:tcBorders>
            <w:vAlign w:val="center"/>
          </w:tcPr>
          <w:p w:rsidR="00A57BFD" w:rsidRDefault="005B0D19">
            <w:pPr>
              <w:spacing w:before="20" w:after="20"/>
              <w:jc w:val="right"/>
              <w:rPr>
                <w:noProof/>
                <w:sz w:val="16"/>
                <w:szCs w:val="16"/>
              </w:rPr>
            </w:pPr>
            <w:r>
              <w:rPr>
                <w:noProof/>
                <w:color w:val="000000"/>
                <w:sz w:val="16"/>
              </w:rPr>
              <w:t>130,000</w:t>
            </w:r>
          </w:p>
        </w:tc>
        <w:tc>
          <w:tcPr>
            <w:tcW w:w="974" w:type="dxa"/>
            <w:tcBorders>
              <w:bottom w:val="single" w:sz="12" w:space="0" w:color="auto"/>
            </w:tcBorders>
            <w:vAlign w:val="center"/>
          </w:tcPr>
          <w:p w:rsidR="00A57BFD" w:rsidRDefault="005B0D19">
            <w:pPr>
              <w:spacing w:before="20" w:after="20"/>
              <w:jc w:val="right"/>
              <w:rPr>
                <w:noProof/>
                <w:sz w:val="16"/>
                <w:szCs w:val="16"/>
              </w:rPr>
            </w:pPr>
            <w:r>
              <w:rPr>
                <w:noProof/>
                <w:color w:val="000000"/>
                <w:sz w:val="16"/>
              </w:rPr>
              <w:t>130,000</w:t>
            </w:r>
          </w:p>
        </w:tc>
        <w:tc>
          <w:tcPr>
            <w:tcW w:w="975" w:type="dxa"/>
            <w:tcBorders>
              <w:bottom w:val="single" w:sz="12" w:space="0" w:color="auto"/>
            </w:tcBorders>
            <w:shd w:val="clear" w:color="auto" w:fill="A6A6A6" w:themeFill="background1" w:themeFillShade="A6"/>
            <w:vAlign w:val="center"/>
          </w:tcPr>
          <w:p w:rsidR="00A57BFD" w:rsidRDefault="00A57BFD">
            <w:pPr>
              <w:spacing w:before="20" w:after="20"/>
              <w:jc w:val="right"/>
              <w:rPr>
                <w:b/>
                <w:noProof/>
                <w:sz w:val="16"/>
                <w:szCs w:val="16"/>
              </w:rPr>
            </w:pPr>
          </w:p>
        </w:tc>
        <w:tc>
          <w:tcPr>
            <w:tcW w:w="1054" w:type="dxa"/>
            <w:tcBorders>
              <w:bottom w:val="single" w:sz="12" w:space="0" w:color="auto"/>
            </w:tcBorders>
            <w:vAlign w:val="center"/>
          </w:tcPr>
          <w:p w:rsidR="00A57BFD" w:rsidRDefault="005B0D19">
            <w:pPr>
              <w:spacing w:before="20" w:after="20"/>
              <w:jc w:val="right"/>
              <w:rPr>
                <w:b/>
                <w:noProof/>
                <w:sz w:val="16"/>
                <w:szCs w:val="16"/>
              </w:rPr>
            </w:pPr>
            <w:r>
              <w:rPr>
                <w:b/>
                <w:noProof/>
                <w:color w:val="000000"/>
                <w:sz w:val="16"/>
              </w:rPr>
              <w:t>1.160,000</w:t>
            </w:r>
          </w:p>
        </w:tc>
      </w:tr>
      <w:tr w:rsidR="00A57BFD">
        <w:trPr>
          <w:trHeight w:val="305"/>
          <w:jc w:val="center"/>
        </w:trPr>
        <w:tc>
          <w:tcPr>
            <w:tcW w:w="3495" w:type="dxa"/>
            <w:vMerge w:val="restart"/>
            <w:tcBorders>
              <w:top w:val="single" w:sz="12" w:space="0" w:color="auto"/>
              <w:left w:val="single" w:sz="12" w:space="0" w:color="auto"/>
              <w:right w:val="single" w:sz="2" w:space="0" w:color="auto"/>
            </w:tcBorders>
            <w:vAlign w:val="center"/>
          </w:tcPr>
          <w:p w:rsidR="00A57BFD" w:rsidRDefault="005B0D19">
            <w:pPr>
              <w:spacing w:before="0" w:after="0"/>
              <w:jc w:val="left"/>
              <w:rPr>
                <w:b/>
                <w:noProof/>
              </w:rPr>
            </w:pPr>
            <w:r>
              <w:rPr>
                <w:b/>
                <w:noProof/>
                <w:sz w:val="22"/>
              </w:rPr>
              <w:t>ΜΕΡΙΚΟ ΣΥΝΟΛΟ – ΕΓΤΕ</w:t>
            </w:r>
          </w:p>
        </w:tc>
        <w:tc>
          <w:tcPr>
            <w:tcW w:w="1417" w:type="dxa"/>
            <w:tcBorders>
              <w:top w:val="single" w:sz="12" w:space="0" w:color="auto"/>
              <w:left w:val="single" w:sz="2" w:space="0" w:color="auto"/>
              <w:bottom w:val="single" w:sz="4" w:space="0" w:color="auto"/>
              <w:right w:val="single" w:sz="2" w:space="0" w:color="auto"/>
            </w:tcBorders>
            <w:vAlign w:val="center"/>
          </w:tcPr>
          <w:p w:rsidR="00A57BFD" w:rsidRDefault="005B0D19">
            <w:pPr>
              <w:spacing w:before="20" w:after="20"/>
              <w:jc w:val="left"/>
              <w:rPr>
                <w:noProof/>
                <w:sz w:val="18"/>
              </w:rPr>
            </w:pPr>
            <w:r>
              <w:rPr>
                <w:noProof/>
                <w:sz w:val="18"/>
              </w:rPr>
              <w:t>Αναλήψεις υποχρεώσεων</w:t>
            </w:r>
          </w:p>
        </w:tc>
        <w:tc>
          <w:tcPr>
            <w:tcW w:w="709" w:type="dxa"/>
            <w:tcBorders>
              <w:top w:val="single" w:sz="12" w:space="0" w:color="auto"/>
              <w:left w:val="single" w:sz="2" w:space="0" w:color="auto"/>
              <w:bottom w:val="single" w:sz="4" w:space="0" w:color="auto"/>
              <w:right w:val="single" w:sz="2" w:space="0" w:color="auto"/>
            </w:tcBorders>
            <w:vAlign w:val="center"/>
          </w:tcPr>
          <w:p w:rsidR="00A57BFD" w:rsidRDefault="005B0D19">
            <w:pPr>
              <w:spacing w:before="20" w:after="20"/>
              <w:jc w:val="center"/>
              <w:rPr>
                <w:noProof/>
                <w:sz w:val="14"/>
              </w:rPr>
            </w:pPr>
            <w:r>
              <w:rPr>
                <w:noProof/>
                <w:sz w:val="14"/>
              </w:rPr>
              <w:t>(10)=(1+2+3+5+6+7+8-9)</w:t>
            </w:r>
          </w:p>
        </w:tc>
        <w:tc>
          <w:tcPr>
            <w:tcW w:w="974" w:type="dxa"/>
            <w:tcBorders>
              <w:top w:val="single" w:sz="12" w:space="0" w:color="auto"/>
              <w:left w:val="single" w:sz="2" w:space="0" w:color="auto"/>
              <w:bottom w:val="single" w:sz="4" w:space="0" w:color="auto"/>
              <w:right w:val="single" w:sz="2" w:space="0" w:color="auto"/>
            </w:tcBorders>
            <w:vAlign w:val="center"/>
          </w:tcPr>
          <w:p w:rsidR="00A57BFD" w:rsidRDefault="005B0D19">
            <w:pPr>
              <w:spacing w:before="20" w:after="20"/>
              <w:jc w:val="right"/>
              <w:rPr>
                <w:b/>
                <w:noProof/>
                <w:sz w:val="16"/>
                <w:szCs w:val="16"/>
              </w:rPr>
            </w:pPr>
            <w:r>
              <w:rPr>
                <w:b/>
                <w:noProof/>
                <w:color w:val="000000"/>
                <w:sz w:val="16"/>
              </w:rPr>
              <w:t>40.300,435</w:t>
            </w:r>
          </w:p>
        </w:tc>
        <w:tc>
          <w:tcPr>
            <w:tcW w:w="975" w:type="dxa"/>
            <w:tcBorders>
              <w:top w:val="single" w:sz="12" w:space="0" w:color="auto"/>
              <w:left w:val="single" w:sz="2" w:space="0" w:color="auto"/>
              <w:bottom w:val="single" w:sz="4" w:space="0" w:color="auto"/>
              <w:right w:val="single" w:sz="2" w:space="0" w:color="auto"/>
            </w:tcBorders>
            <w:vAlign w:val="center"/>
          </w:tcPr>
          <w:p w:rsidR="00A57BFD" w:rsidRDefault="005B0D19">
            <w:pPr>
              <w:spacing w:before="20" w:after="20"/>
              <w:jc w:val="right"/>
              <w:rPr>
                <w:b/>
                <w:noProof/>
                <w:sz w:val="16"/>
                <w:szCs w:val="16"/>
              </w:rPr>
            </w:pPr>
            <w:r>
              <w:rPr>
                <w:b/>
                <w:noProof/>
                <w:color w:val="000000"/>
                <w:sz w:val="16"/>
              </w:rPr>
              <w:t>40.527,343</w:t>
            </w:r>
          </w:p>
        </w:tc>
        <w:tc>
          <w:tcPr>
            <w:tcW w:w="974" w:type="dxa"/>
            <w:tcBorders>
              <w:top w:val="single" w:sz="12" w:space="0" w:color="auto"/>
              <w:left w:val="single" w:sz="2" w:space="0" w:color="auto"/>
              <w:bottom w:val="single" w:sz="4" w:space="0" w:color="auto"/>
              <w:right w:val="single" w:sz="2" w:space="0" w:color="auto"/>
            </w:tcBorders>
            <w:vAlign w:val="center"/>
          </w:tcPr>
          <w:p w:rsidR="00A57BFD" w:rsidRDefault="005B0D19">
            <w:pPr>
              <w:spacing w:before="20" w:after="20"/>
              <w:jc w:val="right"/>
              <w:rPr>
                <w:b/>
                <w:noProof/>
                <w:sz w:val="16"/>
                <w:szCs w:val="16"/>
              </w:rPr>
            </w:pPr>
            <w:r>
              <w:rPr>
                <w:b/>
                <w:noProof/>
                <w:color w:val="000000"/>
                <w:sz w:val="16"/>
              </w:rPr>
              <w:t>40.791,369</w:t>
            </w:r>
          </w:p>
        </w:tc>
        <w:tc>
          <w:tcPr>
            <w:tcW w:w="975" w:type="dxa"/>
            <w:tcBorders>
              <w:top w:val="single" w:sz="12" w:space="0" w:color="auto"/>
              <w:left w:val="single" w:sz="2" w:space="0" w:color="auto"/>
              <w:bottom w:val="single" w:sz="4" w:space="0" w:color="auto"/>
              <w:right w:val="single" w:sz="2" w:space="0" w:color="auto"/>
            </w:tcBorders>
            <w:vAlign w:val="center"/>
          </w:tcPr>
          <w:p w:rsidR="00A57BFD" w:rsidRDefault="005B0D19">
            <w:pPr>
              <w:spacing w:before="20" w:after="20"/>
              <w:jc w:val="right"/>
              <w:rPr>
                <w:b/>
                <w:noProof/>
                <w:sz w:val="16"/>
                <w:szCs w:val="16"/>
              </w:rPr>
            </w:pPr>
            <w:r>
              <w:rPr>
                <w:b/>
                <w:noProof/>
                <w:color w:val="000000"/>
                <w:sz w:val="16"/>
              </w:rPr>
              <w:t>40.931,499</w:t>
            </w:r>
          </w:p>
        </w:tc>
        <w:tc>
          <w:tcPr>
            <w:tcW w:w="974" w:type="dxa"/>
            <w:tcBorders>
              <w:top w:val="single" w:sz="12" w:space="0" w:color="auto"/>
              <w:left w:val="single" w:sz="2" w:space="0" w:color="auto"/>
              <w:bottom w:val="single" w:sz="4" w:space="0" w:color="auto"/>
              <w:right w:val="single" w:sz="2" w:space="0" w:color="auto"/>
            </w:tcBorders>
            <w:vAlign w:val="center"/>
          </w:tcPr>
          <w:p w:rsidR="00A57BFD" w:rsidRDefault="005B0D19">
            <w:pPr>
              <w:spacing w:before="20" w:after="20"/>
              <w:jc w:val="right"/>
              <w:rPr>
                <w:b/>
                <w:noProof/>
                <w:sz w:val="16"/>
                <w:szCs w:val="16"/>
              </w:rPr>
            </w:pPr>
            <w:r>
              <w:rPr>
                <w:b/>
                <w:noProof/>
                <w:color w:val="000000"/>
                <w:sz w:val="16"/>
              </w:rPr>
              <w:t>41.072,405</w:t>
            </w:r>
          </w:p>
        </w:tc>
        <w:tc>
          <w:tcPr>
            <w:tcW w:w="975" w:type="dxa"/>
            <w:tcBorders>
              <w:top w:val="single" w:sz="12" w:space="0" w:color="auto"/>
              <w:left w:val="single" w:sz="2" w:space="0" w:color="auto"/>
              <w:bottom w:val="single" w:sz="4" w:space="0" w:color="auto"/>
              <w:right w:val="single" w:sz="2" w:space="0" w:color="auto"/>
            </w:tcBorders>
            <w:vAlign w:val="center"/>
          </w:tcPr>
          <w:p w:rsidR="00A57BFD" w:rsidRDefault="005B0D19">
            <w:pPr>
              <w:spacing w:before="20" w:after="20"/>
              <w:jc w:val="right"/>
              <w:rPr>
                <w:b/>
                <w:noProof/>
                <w:sz w:val="16"/>
                <w:szCs w:val="16"/>
              </w:rPr>
            </w:pPr>
            <w:r>
              <w:rPr>
                <w:b/>
                <w:noProof/>
                <w:color w:val="000000"/>
                <w:sz w:val="16"/>
              </w:rPr>
              <w:t>41.214,290</w:t>
            </w:r>
          </w:p>
        </w:tc>
        <w:tc>
          <w:tcPr>
            <w:tcW w:w="974" w:type="dxa"/>
            <w:tcBorders>
              <w:top w:val="single" w:sz="12" w:space="0" w:color="auto"/>
              <w:left w:val="single" w:sz="2" w:space="0" w:color="auto"/>
              <w:bottom w:val="single" w:sz="4" w:space="0" w:color="auto"/>
              <w:right w:val="single" w:sz="2" w:space="0" w:color="auto"/>
            </w:tcBorders>
            <w:vAlign w:val="center"/>
          </w:tcPr>
          <w:p w:rsidR="00A57BFD" w:rsidRDefault="005B0D19">
            <w:pPr>
              <w:spacing w:before="20" w:after="20"/>
              <w:jc w:val="right"/>
              <w:rPr>
                <w:b/>
                <w:noProof/>
                <w:sz w:val="16"/>
                <w:szCs w:val="16"/>
              </w:rPr>
            </w:pPr>
            <w:r>
              <w:rPr>
                <w:b/>
                <w:noProof/>
                <w:color w:val="000000"/>
                <w:sz w:val="16"/>
              </w:rPr>
              <w:t>41.357,373</w:t>
            </w:r>
          </w:p>
        </w:tc>
        <w:tc>
          <w:tcPr>
            <w:tcW w:w="975" w:type="dxa"/>
            <w:tcBorders>
              <w:top w:val="single" w:sz="12" w:space="0" w:color="auto"/>
              <w:left w:val="single" w:sz="2" w:space="0" w:color="auto"/>
              <w:bottom w:val="single" w:sz="4" w:space="0" w:color="auto"/>
              <w:right w:val="single" w:sz="2" w:space="0" w:color="auto"/>
            </w:tcBorders>
            <w:shd w:val="clear" w:color="auto" w:fill="A6A6A6" w:themeFill="background1" w:themeFillShade="A6"/>
            <w:vAlign w:val="center"/>
          </w:tcPr>
          <w:p w:rsidR="00A57BFD" w:rsidRDefault="005B0D19">
            <w:pPr>
              <w:spacing w:before="20" w:after="20"/>
              <w:jc w:val="right"/>
              <w:rPr>
                <w:b/>
                <w:noProof/>
                <w:sz w:val="20"/>
              </w:rPr>
            </w:pPr>
            <w:r>
              <w:rPr>
                <w:b/>
                <w:noProof/>
                <w:color w:val="000000"/>
                <w:sz w:val="20"/>
              </w:rPr>
              <w:t> </w:t>
            </w:r>
          </w:p>
        </w:tc>
        <w:tc>
          <w:tcPr>
            <w:tcW w:w="1054" w:type="dxa"/>
            <w:tcBorders>
              <w:top w:val="single" w:sz="12" w:space="0" w:color="auto"/>
              <w:left w:val="single" w:sz="2" w:space="0" w:color="auto"/>
              <w:bottom w:val="single" w:sz="4" w:space="0" w:color="auto"/>
              <w:right w:val="single" w:sz="12" w:space="0" w:color="auto"/>
            </w:tcBorders>
            <w:vAlign w:val="center"/>
          </w:tcPr>
          <w:p w:rsidR="00A57BFD" w:rsidRDefault="005B0D19">
            <w:pPr>
              <w:spacing w:before="20" w:after="20"/>
              <w:jc w:val="right"/>
              <w:rPr>
                <w:b/>
                <w:noProof/>
                <w:sz w:val="16"/>
                <w:szCs w:val="16"/>
              </w:rPr>
            </w:pPr>
            <w:r>
              <w:rPr>
                <w:b/>
                <w:noProof/>
                <w:color w:val="000000"/>
                <w:sz w:val="16"/>
              </w:rPr>
              <w:t>286.194,715</w:t>
            </w:r>
          </w:p>
        </w:tc>
      </w:tr>
      <w:tr w:rsidR="00A57BFD">
        <w:trPr>
          <w:trHeight w:val="305"/>
          <w:jc w:val="center"/>
        </w:trPr>
        <w:tc>
          <w:tcPr>
            <w:tcW w:w="3495" w:type="dxa"/>
            <w:vMerge/>
            <w:tcBorders>
              <w:left w:val="single" w:sz="12" w:space="0" w:color="auto"/>
              <w:bottom w:val="single" w:sz="12" w:space="0" w:color="auto"/>
              <w:right w:val="single" w:sz="2" w:space="0" w:color="auto"/>
            </w:tcBorders>
            <w:vAlign w:val="center"/>
          </w:tcPr>
          <w:p w:rsidR="00A57BFD" w:rsidRDefault="00A57BFD">
            <w:pPr>
              <w:spacing w:before="0" w:after="0"/>
              <w:jc w:val="left"/>
              <w:rPr>
                <w:b/>
                <w:noProof/>
              </w:rPr>
            </w:pPr>
          </w:p>
        </w:tc>
        <w:tc>
          <w:tcPr>
            <w:tcW w:w="1417" w:type="dxa"/>
            <w:tcBorders>
              <w:top w:val="single" w:sz="4" w:space="0" w:color="auto"/>
              <w:left w:val="single" w:sz="2" w:space="0" w:color="auto"/>
              <w:bottom w:val="single" w:sz="12" w:space="0" w:color="auto"/>
              <w:right w:val="single" w:sz="2" w:space="0" w:color="auto"/>
            </w:tcBorders>
            <w:vAlign w:val="center"/>
          </w:tcPr>
          <w:p w:rsidR="00A57BFD" w:rsidRDefault="005B0D19">
            <w:pPr>
              <w:spacing w:before="20" w:after="20"/>
              <w:jc w:val="left"/>
              <w:rPr>
                <w:noProof/>
                <w:sz w:val="18"/>
              </w:rPr>
            </w:pPr>
            <w:r>
              <w:rPr>
                <w:noProof/>
                <w:sz w:val="18"/>
              </w:rPr>
              <w:t>Πληρωμές</w:t>
            </w:r>
          </w:p>
        </w:tc>
        <w:tc>
          <w:tcPr>
            <w:tcW w:w="709" w:type="dxa"/>
            <w:tcBorders>
              <w:top w:val="single" w:sz="4" w:space="0" w:color="auto"/>
              <w:left w:val="single" w:sz="2" w:space="0" w:color="auto"/>
              <w:bottom w:val="single" w:sz="12" w:space="0" w:color="auto"/>
              <w:right w:val="single" w:sz="2" w:space="0" w:color="auto"/>
            </w:tcBorders>
            <w:vAlign w:val="center"/>
          </w:tcPr>
          <w:p w:rsidR="00A57BFD" w:rsidRDefault="005B0D19">
            <w:pPr>
              <w:spacing w:before="20" w:after="20"/>
              <w:jc w:val="center"/>
              <w:rPr>
                <w:noProof/>
                <w:sz w:val="14"/>
              </w:rPr>
            </w:pPr>
            <w:r>
              <w:rPr>
                <w:noProof/>
                <w:sz w:val="14"/>
              </w:rPr>
              <w:t>11)=(1+2+4+5+6+7+8-9)</w:t>
            </w:r>
          </w:p>
        </w:tc>
        <w:tc>
          <w:tcPr>
            <w:tcW w:w="974" w:type="dxa"/>
            <w:tcBorders>
              <w:top w:val="single" w:sz="4" w:space="0" w:color="auto"/>
              <w:left w:val="single" w:sz="2" w:space="0" w:color="auto"/>
              <w:bottom w:val="single" w:sz="12" w:space="0" w:color="auto"/>
              <w:right w:val="single" w:sz="2" w:space="0" w:color="auto"/>
            </w:tcBorders>
            <w:vAlign w:val="center"/>
          </w:tcPr>
          <w:p w:rsidR="00A57BFD" w:rsidRDefault="005B0D19">
            <w:pPr>
              <w:spacing w:before="20" w:after="20"/>
              <w:jc w:val="right"/>
              <w:rPr>
                <w:b/>
                <w:noProof/>
                <w:sz w:val="16"/>
                <w:szCs w:val="16"/>
              </w:rPr>
            </w:pPr>
            <w:r>
              <w:rPr>
                <w:b/>
                <w:noProof/>
                <w:color w:val="000000"/>
                <w:sz w:val="16"/>
              </w:rPr>
              <w:t>40.267,262</w:t>
            </w:r>
          </w:p>
        </w:tc>
        <w:tc>
          <w:tcPr>
            <w:tcW w:w="975" w:type="dxa"/>
            <w:tcBorders>
              <w:top w:val="single" w:sz="4" w:space="0" w:color="auto"/>
              <w:left w:val="single" w:sz="2" w:space="0" w:color="auto"/>
              <w:bottom w:val="single" w:sz="12" w:space="0" w:color="auto"/>
              <w:right w:val="single" w:sz="2" w:space="0" w:color="auto"/>
            </w:tcBorders>
            <w:vAlign w:val="center"/>
          </w:tcPr>
          <w:p w:rsidR="00A57BFD" w:rsidRDefault="005B0D19">
            <w:pPr>
              <w:spacing w:before="20" w:after="20"/>
              <w:jc w:val="right"/>
              <w:rPr>
                <w:b/>
                <w:noProof/>
                <w:sz w:val="16"/>
                <w:szCs w:val="16"/>
              </w:rPr>
            </w:pPr>
            <w:r>
              <w:rPr>
                <w:b/>
                <w:noProof/>
                <w:color w:val="000000"/>
                <w:sz w:val="16"/>
              </w:rPr>
              <w:t>40.500,635</w:t>
            </w:r>
          </w:p>
        </w:tc>
        <w:tc>
          <w:tcPr>
            <w:tcW w:w="974" w:type="dxa"/>
            <w:tcBorders>
              <w:top w:val="single" w:sz="4" w:space="0" w:color="auto"/>
              <w:left w:val="single" w:sz="2" w:space="0" w:color="auto"/>
              <w:bottom w:val="single" w:sz="12" w:space="0" w:color="auto"/>
              <w:right w:val="single" w:sz="2" w:space="0" w:color="auto"/>
            </w:tcBorders>
            <w:vAlign w:val="center"/>
          </w:tcPr>
          <w:p w:rsidR="00A57BFD" w:rsidRDefault="005B0D19">
            <w:pPr>
              <w:spacing w:before="20" w:after="20"/>
              <w:jc w:val="right"/>
              <w:rPr>
                <w:b/>
                <w:noProof/>
                <w:sz w:val="16"/>
                <w:szCs w:val="16"/>
              </w:rPr>
            </w:pPr>
            <w:r>
              <w:rPr>
                <w:b/>
                <w:noProof/>
                <w:color w:val="000000"/>
                <w:sz w:val="16"/>
              </w:rPr>
              <w:t>40.776,868</w:t>
            </w:r>
          </w:p>
        </w:tc>
        <w:tc>
          <w:tcPr>
            <w:tcW w:w="975" w:type="dxa"/>
            <w:tcBorders>
              <w:top w:val="single" w:sz="4" w:space="0" w:color="auto"/>
              <w:left w:val="single" w:sz="2" w:space="0" w:color="auto"/>
              <w:bottom w:val="single" w:sz="12" w:space="0" w:color="auto"/>
              <w:right w:val="single" w:sz="2" w:space="0" w:color="auto"/>
            </w:tcBorders>
            <w:vAlign w:val="center"/>
          </w:tcPr>
          <w:p w:rsidR="00A57BFD" w:rsidRDefault="005B0D19">
            <w:pPr>
              <w:spacing w:before="20" w:after="20"/>
              <w:jc w:val="right"/>
              <w:rPr>
                <w:b/>
                <w:noProof/>
                <w:sz w:val="16"/>
                <w:szCs w:val="16"/>
              </w:rPr>
            </w:pPr>
            <w:r>
              <w:rPr>
                <w:b/>
                <w:noProof/>
                <w:color w:val="000000"/>
                <w:sz w:val="16"/>
              </w:rPr>
              <w:t>40.920,833</w:t>
            </w:r>
          </w:p>
        </w:tc>
        <w:tc>
          <w:tcPr>
            <w:tcW w:w="974" w:type="dxa"/>
            <w:tcBorders>
              <w:top w:val="single" w:sz="4" w:space="0" w:color="auto"/>
              <w:left w:val="single" w:sz="2" w:space="0" w:color="auto"/>
              <w:bottom w:val="single" w:sz="12" w:space="0" w:color="auto"/>
              <w:right w:val="single" w:sz="2" w:space="0" w:color="auto"/>
            </w:tcBorders>
            <w:vAlign w:val="center"/>
          </w:tcPr>
          <w:p w:rsidR="00A57BFD" w:rsidRDefault="005B0D19">
            <w:pPr>
              <w:spacing w:before="20" w:after="20"/>
              <w:jc w:val="right"/>
              <w:rPr>
                <w:b/>
                <w:noProof/>
                <w:sz w:val="16"/>
                <w:szCs w:val="16"/>
              </w:rPr>
            </w:pPr>
            <w:r>
              <w:rPr>
                <w:b/>
                <w:noProof/>
                <w:color w:val="000000"/>
                <w:sz w:val="16"/>
              </w:rPr>
              <w:t>41.063,866</w:t>
            </w:r>
          </w:p>
        </w:tc>
        <w:tc>
          <w:tcPr>
            <w:tcW w:w="975" w:type="dxa"/>
            <w:tcBorders>
              <w:top w:val="single" w:sz="4" w:space="0" w:color="auto"/>
              <w:left w:val="single" w:sz="2" w:space="0" w:color="auto"/>
              <w:bottom w:val="single" w:sz="12" w:space="0" w:color="auto"/>
              <w:right w:val="single" w:sz="2" w:space="0" w:color="auto"/>
            </w:tcBorders>
            <w:vAlign w:val="center"/>
          </w:tcPr>
          <w:p w:rsidR="00A57BFD" w:rsidRDefault="005B0D19">
            <w:pPr>
              <w:spacing w:before="20" w:after="20"/>
              <w:jc w:val="right"/>
              <w:rPr>
                <w:b/>
                <w:noProof/>
                <w:sz w:val="16"/>
                <w:szCs w:val="16"/>
              </w:rPr>
            </w:pPr>
            <w:r>
              <w:rPr>
                <w:b/>
                <w:noProof/>
                <w:color w:val="000000"/>
                <w:sz w:val="16"/>
              </w:rPr>
              <w:t>41.206,315</w:t>
            </w:r>
          </w:p>
        </w:tc>
        <w:tc>
          <w:tcPr>
            <w:tcW w:w="974" w:type="dxa"/>
            <w:tcBorders>
              <w:top w:val="single" w:sz="4" w:space="0" w:color="auto"/>
              <w:left w:val="single" w:sz="2" w:space="0" w:color="auto"/>
              <w:bottom w:val="single" w:sz="12" w:space="0" w:color="auto"/>
              <w:right w:val="single" w:sz="2" w:space="0" w:color="auto"/>
            </w:tcBorders>
            <w:vAlign w:val="center"/>
          </w:tcPr>
          <w:p w:rsidR="00A57BFD" w:rsidRDefault="005B0D19">
            <w:pPr>
              <w:spacing w:before="20" w:after="20"/>
              <w:jc w:val="right"/>
              <w:rPr>
                <w:b/>
                <w:noProof/>
                <w:sz w:val="16"/>
                <w:szCs w:val="16"/>
              </w:rPr>
            </w:pPr>
            <w:r>
              <w:rPr>
                <w:b/>
                <w:noProof/>
                <w:color w:val="000000"/>
                <w:sz w:val="16"/>
              </w:rPr>
              <w:t>41.349,378</w:t>
            </w:r>
          </w:p>
        </w:tc>
        <w:tc>
          <w:tcPr>
            <w:tcW w:w="975" w:type="dxa"/>
            <w:tcBorders>
              <w:top w:val="single" w:sz="4" w:space="0" w:color="auto"/>
              <w:left w:val="single" w:sz="2" w:space="0" w:color="auto"/>
              <w:bottom w:val="single" w:sz="12" w:space="0" w:color="auto"/>
              <w:right w:val="single" w:sz="2" w:space="0" w:color="auto"/>
            </w:tcBorders>
            <w:shd w:val="clear" w:color="auto" w:fill="auto"/>
            <w:vAlign w:val="center"/>
          </w:tcPr>
          <w:p w:rsidR="00A57BFD" w:rsidRDefault="005B0D19">
            <w:pPr>
              <w:spacing w:before="20" w:after="20"/>
              <w:jc w:val="right"/>
              <w:rPr>
                <w:b/>
                <w:noProof/>
                <w:sz w:val="16"/>
                <w:szCs w:val="16"/>
              </w:rPr>
            </w:pPr>
            <w:r>
              <w:rPr>
                <w:b/>
                <w:noProof/>
                <w:color w:val="000000"/>
                <w:sz w:val="16"/>
              </w:rPr>
              <w:t>109,558</w:t>
            </w:r>
          </w:p>
        </w:tc>
        <w:tc>
          <w:tcPr>
            <w:tcW w:w="1054" w:type="dxa"/>
            <w:tcBorders>
              <w:top w:val="single" w:sz="4" w:space="0" w:color="auto"/>
              <w:left w:val="single" w:sz="2" w:space="0" w:color="auto"/>
              <w:bottom w:val="single" w:sz="12" w:space="0" w:color="auto"/>
              <w:right w:val="single" w:sz="12" w:space="0" w:color="auto"/>
            </w:tcBorders>
            <w:vAlign w:val="center"/>
          </w:tcPr>
          <w:p w:rsidR="00A57BFD" w:rsidRDefault="005B0D19">
            <w:pPr>
              <w:spacing w:before="20" w:after="20"/>
              <w:jc w:val="right"/>
              <w:rPr>
                <w:b/>
                <w:noProof/>
                <w:sz w:val="16"/>
                <w:szCs w:val="16"/>
              </w:rPr>
            </w:pPr>
            <w:r>
              <w:rPr>
                <w:b/>
                <w:noProof/>
                <w:color w:val="000000"/>
                <w:sz w:val="16"/>
              </w:rPr>
              <w:t>286.194,715</w:t>
            </w:r>
          </w:p>
        </w:tc>
      </w:tr>
      <w:tr w:rsidR="00A57BFD">
        <w:trPr>
          <w:trHeight w:val="433"/>
          <w:jc w:val="center"/>
        </w:trPr>
        <w:tc>
          <w:tcPr>
            <w:tcW w:w="3495" w:type="dxa"/>
            <w:tcBorders>
              <w:top w:val="single" w:sz="12" w:space="0" w:color="auto"/>
              <w:left w:val="nil"/>
              <w:bottom w:val="single" w:sz="12" w:space="0" w:color="auto"/>
              <w:right w:val="nil"/>
            </w:tcBorders>
            <w:vAlign w:val="center"/>
          </w:tcPr>
          <w:p w:rsidR="00A57BFD" w:rsidRDefault="00A57BFD">
            <w:pPr>
              <w:spacing w:before="20" w:after="20"/>
              <w:jc w:val="right"/>
              <w:rPr>
                <w:noProof/>
                <w:color w:val="000000"/>
                <w:sz w:val="16"/>
              </w:rPr>
            </w:pPr>
          </w:p>
        </w:tc>
        <w:tc>
          <w:tcPr>
            <w:tcW w:w="1417" w:type="dxa"/>
            <w:tcBorders>
              <w:top w:val="single" w:sz="12" w:space="0" w:color="auto"/>
              <w:left w:val="nil"/>
              <w:bottom w:val="single" w:sz="12" w:space="0" w:color="auto"/>
              <w:right w:val="nil"/>
            </w:tcBorders>
            <w:vAlign w:val="center"/>
          </w:tcPr>
          <w:p w:rsidR="00A57BFD" w:rsidRDefault="00A57BFD">
            <w:pPr>
              <w:spacing w:before="20" w:after="20"/>
              <w:jc w:val="right"/>
              <w:rPr>
                <w:noProof/>
                <w:color w:val="000000"/>
                <w:sz w:val="16"/>
              </w:rPr>
            </w:pPr>
          </w:p>
        </w:tc>
        <w:tc>
          <w:tcPr>
            <w:tcW w:w="709" w:type="dxa"/>
            <w:tcBorders>
              <w:top w:val="single" w:sz="12" w:space="0" w:color="auto"/>
              <w:left w:val="nil"/>
              <w:bottom w:val="single" w:sz="12" w:space="0" w:color="auto"/>
              <w:right w:val="nil"/>
            </w:tcBorders>
            <w:vAlign w:val="center"/>
          </w:tcPr>
          <w:p w:rsidR="00A57BFD" w:rsidRDefault="00A57BFD">
            <w:pPr>
              <w:spacing w:before="20" w:after="20"/>
              <w:jc w:val="right"/>
              <w:rPr>
                <w:noProof/>
                <w:color w:val="000000"/>
                <w:sz w:val="16"/>
              </w:rPr>
            </w:pPr>
          </w:p>
        </w:tc>
        <w:tc>
          <w:tcPr>
            <w:tcW w:w="974" w:type="dxa"/>
            <w:tcBorders>
              <w:top w:val="single" w:sz="12" w:space="0" w:color="auto"/>
              <w:left w:val="nil"/>
              <w:bottom w:val="single" w:sz="12" w:space="0" w:color="auto"/>
              <w:right w:val="nil"/>
            </w:tcBorders>
            <w:vAlign w:val="center"/>
          </w:tcPr>
          <w:p w:rsidR="00A57BFD" w:rsidRDefault="00A57BFD">
            <w:pPr>
              <w:spacing w:before="20" w:after="20"/>
              <w:jc w:val="right"/>
              <w:rPr>
                <w:noProof/>
                <w:color w:val="000000"/>
                <w:sz w:val="16"/>
              </w:rPr>
            </w:pPr>
          </w:p>
        </w:tc>
        <w:tc>
          <w:tcPr>
            <w:tcW w:w="975" w:type="dxa"/>
            <w:tcBorders>
              <w:top w:val="single" w:sz="12" w:space="0" w:color="auto"/>
              <w:left w:val="nil"/>
              <w:bottom w:val="single" w:sz="12" w:space="0" w:color="auto"/>
              <w:right w:val="nil"/>
            </w:tcBorders>
            <w:vAlign w:val="center"/>
          </w:tcPr>
          <w:p w:rsidR="00A57BFD" w:rsidRDefault="00A57BFD">
            <w:pPr>
              <w:spacing w:before="20" w:after="20"/>
              <w:jc w:val="right"/>
              <w:rPr>
                <w:noProof/>
                <w:color w:val="000000"/>
                <w:sz w:val="16"/>
              </w:rPr>
            </w:pPr>
          </w:p>
        </w:tc>
        <w:tc>
          <w:tcPr>
            <w:tcW w:w="974" w:type="dxa"/>
            <w:tcBorders>
              <w:top w:val="single" w:sz="12" w:space="0" w:color="auto"/>
              <w:left w:val="nil"/>
              <w:bottom w:val="single" w:sz="12" w:space="0" w:color="auto"/>
              <w:right w:val="nil"/>
            </w:tcBorders>
            <w:vAlign w:val="center"/>
          </w:tcPr>
          <w:p w:rsidR="00A57BFD" w:rsidRDefault="00A57BFD">
            <w:pPr>
              <w:spacing w:before="20" w:after="20"/>
              <w:jc w:val="right"/>
              <w:rPr>
                <w:noProof/>
                <w:color w:val="000000"/>
                <w:sz w:val="16"/>
              </w:rPr>
            </w:pPr>
          </w:p>
        </w:tc>
        <w:tc>
          <w:tcPr>
            <w:tcW w:w="975" w:type="dxa"/>
            <w:tcBorders>
              <w:top w:val="single" w:sz="12" w:space="0" w:color="auto"/>
              <w:left w:val="nil"/>
              <w:bottom w:val="single" w:sz="12" w:space="0" w:color="auto"/>
              <w:right w:val="nil"/>
            </w:tcBorders>
            <w:vAlign w:val="center"/>
          </w:tcPr>
          <w:p w:rsidR="00A57BFD" w:rsidRDefault="00A57BFD">
            <w:pPr>
              <w:spacing w:before="20" w:after="20"/>
              <w:jc w:val="right"/>
              <w:rPr>
                <w:noProof/>
                <w:color w:val="000000"/>
                <w:sz w:val="16"/>
              </w:rPr>
            </w:pPr>
          </w:p>
        </w:tc>
        <w:tc>
          <w:tcPr>
            <w:tcW w:w="974" w:type="dxa"/>
            <w:tcBorders>
              <w:top w:val="single" w:sz="12" w:space="0" w:color="auto"/>
              <w:left w:val="nil"/>
              <w:bottom w:val="single" w:sz="12" w:space="0" w:color="auto"/>
              <w:right w:val="nil"/>
            </w:tcBorders>
            <w:vAlign w:val="center"/>
          </w:tcPr>
          <w:p w:rsidR="00A57BFD" w:rsidRDefault="00A57BFD">
            <w:pPr>
              <w:spacing w:before="20" w:after="20"/>
              <w:jc w:val="right"/>
              <w:rPr>
                <w:noProof/>
                <w:color w:val="000000"/>
                <w:sz w:val="16"/>
              </w:rPr>
            </w:pPr>
          </w:p>
        </w:tc>
        <w:tc>
          <w:tcPr>
            <w:tcW w:w="975" w:type="dxa"/>
            <w:tcBorders>
              <w:top w:val="single" w:sz="12" w:space="0" w:color="auto"/>
              <w:left w:val="nil"/>
              <w:bottom w:val="single" w:sz="12" w:space="0" w:color="auto"/>
              <w:right w:val="nil"/>
            </w:tcBorders>
            <w:vAlign w:val="center"/>
          </w:tcPr>
          <w:p w:rsidR="00A57BFD" w:rsidRDefault="00A57BFD">
            <w:pPr>
              <w:spacing w:before="20" w:after="20"/>
              <w:jc w:val="right"/>
              <w:rPr>
                <w:noProof/>
                <w:color w:val="000000"/>
                <w:sz w:val="16"/>
              </w:rPr>
            </w:pPr>
          </w:p>
        </w:tc>
        <w:tc>
          <w:tcPr>
            <w:tcW w:w="974" w:type="dxa"/>
            <w:tcBorders>
              <w:top w:val="single" w:sz="12" w:space="0" w:color="auto"/>
              <w:left w:val="nil"/>
              <w:bottom w:val="single" w:sz="12" w:space="0" w:color="auto"/>
              <w:right w:val="nil"/>
            </w:tcBorders>
            <w:vAlign w:val="center"/>
          </w:tcPr>
          <w:p w:rsidR="00A57BFD" w:rsidRDefault="00A57BFD">
            <w:pPr>
              <w:spacing w:before="20" w:after="20"/>
              <w:jc w:val="right"/>
              <w:rPr>
                <w:noProof/>
                <w:color w:val="000000"/>
                <w:sz w:val="16"/>
              </w:rPr>
            </w:pPr>
          </w:p>
        </w:tc>
        <w:tc>
          <w:tcPr>
            <w:tcW w:w="975" w:type="dxa"/>
            <w:tcBorders>
              <w:top w:val="single" w:sz="12" w:space="0" w:color="auto"/>
              <w:left w:val="nil"/>
              <w:bottom w:val="single" w:sz="12" w:space="0" w:color="auto"/>
              <w:right w:val="nil"/>
            </w:tcBorders>
            <w:shd w:val="clear" w:color="auto" w:fill="auto"/>
            <w:vAlign w:val="center"/>
          </w:tcPr>
          <w:p w:rsidR="00A57BFD" w:rsidRDefault="00A57BFD">
            <w:pPr>
              <w:spacing w:before="20" w:after="20"/>
              <w:jc w:val="right"/>
              <w:rPr>
                <w:noProof/>
                <w:color w:val="000000"/>
                <w:sz w:val="16"/>
              </w:rPr>
            </w:pPr>
          </w:p>
        </w:tc>
        <w:tc>
          <w:tcPr>
            <w:tcW w:w="1054" w:type="dxa"/>
            <w:tcBorders>
              <w:top w:val="single" w:sz="12" w:space="0" w:color="auto"/>
              <w:left w:val="nil"/>
              <w:bottom w:val="single" w:sz="12" w:space="0" w:color="auto"/>
              <w:right w:val="nil"/>
            </w:tcBorders>
            <w:vAlign w:val="center"/>
          </w:tcPr>
          <w:p w:rsidR="00A57BFD" w:rsidRDefault="00A57BFD">
            <w:pPr>
              <w:spacing w:before="20" w:after="20"/>
              <w:jc w:val="right"/>
              <w:rPr>
                <w:noProof/>
                <w:color w:val="000000"/>
                <w:sz w:val="16"/>
              </w:rPr>
            </w:pPr>
          </w:p>
        </w:tc>
      </w:tr>
      <w:tr w:rsidR="00A57BFD">
        <w:trPr>
          <w:trHeight w:val="433"/>
          <w:jc w:val="center"/>
        </w:trPr>
        <w:tc>
          <w:tcPr>
            <w:tcW w:w="3495" w:type="dxa"/>
            <w:tcBorders>
              <w:top w:val="single" w:sz="12" w:space="0" w:color="auto"/>
              <w:bottom w:val="nil"/>
            </w:tcBorders>
            <w:vAlign w:val="center"/>
          </w:tcPr>
          <w:p w:rsidR="00A57BFD" w:rsidRDefault="005B0D19">
            <w:pPr>
              <w:jc w:val="left"/>
              <w:rPr>
                <w:noProof/>
              </w:rPr>
            </w:pPr>
            <w:r>
              <w:rPr>
                <w:noProof/>
                <w:sz w:val="20"/>
              </w:rPr>
              <w:t>08 03 YY – Τύποι παρεμβάσεων αγροτικής ανάπτυξης</w:t>
            </w:r>
          </w:p>
        </w:tc>
        <w:tc>
          <w:tcPr>
            <w:tcW w:w="1417" w:type="dxa"/>
            <w:tcBorders>
              <w:top w:val="single" w:sz="12" w:space="0" w:color="auto"/>
              <w:bottom w:val="single" w:sz="4" w:space="0" w:color="auto"/>
            </w:tcBorders>
            <w:vAlign w:val="center"/>
          </w:tcPr>
          <w:p w:rsidR="00A57BFD" w:rsidRDefault="005B0D19">
            <w:pPr>
              <w:spacing w:before="20" w:after="20"/>
              <w:jc w:val="left"/>
              <w:rPr>
                <w:noProof/>
                <w:sz w:val="18"/>
              </w:rPr>
            </w:pPr>
            <w:r>
              <w:rPr>
                <w:noProof/>
                <w:sz w:val="18"/>
              </w:rPr>
              <w:t>Αναλήψεις υποχρεώσεων</w:t>
            </w:r>
          </w:p>
        </w:tc>
        <w:tc>
          <w:tcPr>
            <w:tcW w:w="709" w:type="dxa"/>
            <w:tcBorders>
              <w:top w:val="single" w:sz="12" w:space="0" w:color="auto"/>
              <w:bottom w:val="single" w:sz="4" w:space="0" w:color="auto"/>
            </w:tcBorders>
            <w:vAlign w:val="center"/>
          </w:tcPr>
          <w:p w:rsidR="00A57BFD" w:rsidRDefault="005B0D19">
            <w:pPr>
              <w:spacing w:before="20" w:after="20"/>
              <w:jc w:val="center"/>
              <w:rPr>
                <w:noProof/>
                <w:sz w:val="14"/>
              </w:rPr>
            </w:pPr>
            <w:r>
              <w:rPr>
                <w:noProof/>
                <w:sz w:val="14"/>
              </w:rPr>
              <w:t>(12)</w:t>
            </w:r>
          </w:p>
        </w:tc>
        <w:tc>
          <w:tcPr>
            <w:tcW w:w="974" w:type="dxa"/>
            <w:tcBorders>
              <w:top w:val="single" w:sz="12" w:space="0" w:color="auto"/>
              <w:bottom w:val="single" w:sz="4" w:space="0" w:color="auto"/>
            </w:tcBorders>
            <w:vAlign w:val="center"/>
          </w:tcPr>
          <w:p w:rsidR="00A57BFD" w:rsidRDefault="005B0D19">
            <w:pPr>
              <w:spacing w:before="20" w:after="20"/>
              <w:jc w:val="right"/>
              <w:rPr>
                <w:noProof/>
                <w:sz w:val="16"/>
                <w:szCs w:val="16"/>
              </w:rPr>
            </w:pPr>
            <w:r>
              <w:rPr>
                <w:noProof/>
                <w:color w:val="000000"/>
                <w:sz w:val="16"/>
              </w:rPr>
              <w:t>11.230,561</w:t>
            </w:r>
          </w:p>
        </w:tc>
        <w:tc>
          <w:tcPr>
            <w:tcW w:w="975" w:type="dxa"/>
            <w:tcBorders>
              <w:top w:val="single" w:sz="12" w:space="0" w:color="auto"/>
              <w:bottom w:val="single" w:sz="4" w:space="0" w:color="auto"/>
            </w:tcBorders>
            <w:vAlign w:val="center"/>
          </w:tcPr>
          <w:p w:rsidR="00A57BFD" w:rsidRDefault="005B0D19">
            <w:pPr>
              <w:spacing w:before="20" w:after="20"/>
              <w:jc w:val="right"/>
              <w:rPr>
                <w:noProof/>
                <w:sz w:val="16"/>
                <w:szCs w:val="16"/>
              </w:rPr>
            </w:pPr>
            <w:r>
              <w:rPr>
                <w:noProof/>
                <w:color w:val="000000"/>
                <w:sz w:val="16"/>
              </w:rPr>
              <w:t>11.230,561</w:t>
            </w:r>
          </w:p>
        </w:tc>
        <w:tc>
          <w:tcPr>
            <w:tcW w:w="974" w:type="dxa"/>
            <w:tcBorders>
              <w:top w:val="single" w:sz="12" w:space="0" w:color="auto"/>
              <w:bottom w:val="single" w:sz="4" w:space="0" w:color="auto"/>
            </w:tcBorders>
            <w:vAlign w:val="center"/>
          </w:tcPr>
          <w:p w:rsidR="00A57BFD" w:rsidRDefault="005B0D19">
            <w:pPr>
              <w:spacing w:before="20" w:after="20"/>
              <w:jc w:val="right"/>
              <w:rPr>
                <w:noProof/>
                <w:sz w:val="16"/>
                <w:szCs w:val="16"/>
              </w:rPr>
            </w:pPr>
            <w:r>
              <w:rPr>
                <w:noProof/>
                <w:color w:val="000000"/>
                <w:sz w:val="16"/>
              </w:rPr>
              <w:t>11.230,561</w:t>
            </w:r>
          </w:p>
        </w:tc>
        <w:tc>
          <w:tcPr>
            <w:tcW w:w="975" w:type="dxa"/>
            <w:tcBorders>
              <w:top w:val="single" w:sz="12" w:space="0" w:color="auto"/>
              <w:bottom w:val="single" w:sz="4" w:space="0" w:color="auto"/>
            </w:tcBorders>
            <w:vAlign w:val="center"/>
          </w:tcPr>
          <w:p w:rsidR="00A57BFD" w:rsidRDefault="005B0D19">
            <w:pPr>
              <w:spacing w:before="20" w:after="20"/>
              <w:jc w:val="right"/>
              <w:rPr>
                <w:noProof/>
                <w:sz w:val="16"/>
                <w:szCs w:val="16"/>
              </w:rPr>
            </w:pPr>
            <w:r>
              <w:rPr>
                <w:noProof/>
                <w:color w:val="000000"/>
                <w:sz w:val="16"/>
              </w:rPr>
              <w:t>11.230,561</w:t>
            </w:r>
          </w:p>
        </w:tc>
        <w:tc>
          <w:tcPr>
            <w:tcW w:w="974" w:type="dxa"/>
            <w:tcBorders>
              <w:top w:val="single" w:sz="12" w:space="0" w:color="auto"/>
              <w:bottom w:val="single" w:sz="4" w:space="0" w:color="auto"/>
            </w:tcBorders>
            <w:vAlign w:val="center"/>
          </w:tcPr>
          <w:p w:rsidR="00A57BFD" w:rsidRDefault="005B0D19">
            <w:pPr>
              <w:spacing w:before="20" w:after="20"/>
              <w:jc w:val="right"/>
              <w:rPr>
                <w:noProof/>
                <w:sz w:val="16"/>
                <w:szCs w:val="16"/>
              </w:rPr>
            </w:pPr>
            <w:r>
              <w:rPr>
                <w:noProof/>
                <w:color w:val="000000"/>
                <w:sz w:val="16"/>
              </w:rPr>
              <w:t>11.230,561</w:t>
            </w:r>
          </w:p>
        </w:tc>
        <w:tc>
          <w:tcPr>
            <w:tcW w:w="975" w:type="dxa"/>
            <w:tcBorders>
              <w:top w:val="single" w:sz="12" w:space="0" w:color="auto"/>
              <w:bottom w:val="single" w:sz="4" w:space="0" w:color="auto"/>
            </w:tcBorders>
            <w:vAlign w:val="center"/>
          </w:tcPr>
          <w:p w:rsidR="00A57BFD" w:rsidRDefault="005B0D19">
            <w:pPr>
              <w:spacing w:before="20" w:after="20"/>
              <w:jc w:val="right"/>
              <w:rPr>
                <w:noProof/>
                <w:sz w:val="16"/>
                <w:szCs w:val="16"/>
              </w:rPr>
            </w:pPr>
            <w:r>
              <w:rPr>
                <w:noProof/>
                <w:color w:val="000000"/>
                <w:sz w:val="16"/>
              </w:rPr>
              <w:t>11.230,561</w:t>
            </w:r>
          </w:p>
        </w:tc>
        <w:tc>
          <w:tcPr>
            <w:tcW w:w="974" w:type="dxa"/>
            <w:tcBorders>
              <w:top w:val="single" w:sz="12" w:space="0" w:color="auto"/>
              <w:bottom w:val="single" w:sz="4" w:space="0" w:color="auto"/>
            </w:tcBorders>
            <w:vAlign w:val="center"/>
          </w:tcPr>
          <w:p w:rsidR="00A57BFD" w:rsidRDefault="005B0D19">
            <w:pPr>
              <w:spacing w:before="20" w:after="20"/>
              <w:jc w:val="right"/>
              <w:rPr>
                <w:b/>
                <w:noProof/>
                <w:sz w:val="16"/>
                <w:szCs w:val="16"/>
              </w:rPr>
            </w:pPr>
            <w:r>
              <w:rPr>
                <w:noProof/>
                <w:color w:val="000000"/>
                <w:sz w:val="16"/>
              </w:rPr>
              <w:t>11.230,561</w:t>
            </w:r>
          </w:p>
        </w:tc>
        <w:tc>
          <w:tcPr>
            <w:tcW w:w="975" w:type="dxa"/>
            <w:tcBorders>
              <w:top w:val="single" w:sz="12" w:space="0" w:color="auto"/>
              <w:bottom w:val="single" w:sz="4" w:space="0" w:color="auto"/>
            </w:tcBorders>
            <w:shd w:val="clear" w:color="auto" w:fill="A6A6A6" w:themeFill="background1" w:themeFillShade="A6"/>
            <w:vAlign w:val="center"/>
          </w:tcPr>
          <w:p w:rsidR="00A57BFD" w:rsidRDefault="005B0D19">
            <w:pPr>
              <w:spacing w:before="20" w:after="20"/>
              <w:jc w:val="right"/>
              <w:rPr>
                <w:b/>
                <w:noProof/>
                <w:sz w:val="16"/>
                <w:szCs w:val="16"/>
              </w:rPr>
            </w:pPr>
            <w:r>
              <w:rPr>
                <w:b/>
                <w:noProof/>
                <w:color w:val="000000"/>
                <w:sz w:val="16"/>
              </w:rPr>
              <w:t> </w:t>
            </w:r>
          </w:p>
        </w:tc>
        <w:tc>
          <w:tcPr>
            <w:tcW w:w="1054" w:type="dxa"/>
            <w:tcBorders>
              <w:top w:val="single" w:sz="12" w:space="0" w:color="auto"/>
              <w:bottom w:val="single" w:sz="4" w:space="0" w:color="auto"/>
            </w:tcBorders>
            <w:vAlign w:val="center"/>
          </w:tcPr>
          <w:p w:rsidR="00A57BFD" w:rsidRDefault="005B0D19">
            <w:pPr>
              <w:spacing w:before="20" w:after="20"/>
              <w:jc w:val="right"/>
              <w:rPr>
                <w:b/>
                <w:noProof/>
                <w:sz w:val="16"/>
                <w:szCs w:val="16"/>
              </w:rPr>
            </w:pPr>
            <w:r>
              <w:rPr>
                <w:b/>
                <w:noProof/>
                <w:color w:val="000000"/>
                <w:sz w:val="16"/>
              </w:rPr>
              <w:t>78.613,927</w:t>
            </w:r>
          </w:p>
        </w:tc>
      </w:tr>
      <w:tr w:rsidR="00A57BFD">
        <w:trPr>
          <w:trHeight w:val="411"/>
          <w:jc w:val="center"/>
        </w:trPr>
        <w:tc>
          <w:tcPr>
            <w:tcW w:w="3495" w:type="dxa"/>
            <w:tcBorders>
              <w:top w:val="nil"/>
            </w:tcBorders>
          </w:tcPr>
          <w:p w:rsidR="00A57BFD" w:rsidRDefault="00A57BFD">
            <w:pPr>
              <w:jc w:val="center"/>
              <w:rPr>
                <w:noProof/>
                <w:sz w:val="20"/>
              </w:rPr>
            </w:pPr>
          </w:p>
        </w:tc>
        <w:tc>
          <w:tcPr>
            <w:tcW w:w="1417" w:type="dxa"/>
            <w:tcBorders>
              <w:top w:val="single" w:sz="4" w:space="0" w:color="auto"/>
            </w:tcBorders>
            <w:vAlign w:val="center"/>
          </w:tcPr>
          <w:p w:rsidR="00A57BFD" w:rsidRDefault="005B0D19">
            <w:pPr>
              <w:spacing w:before="20" w:after="20"/>
              <w:jc w:val="left"/>
              <w:rPr>
                <w:noProof/>
                <w:sz w:val="18"/>
              </w:rPr>
            </w:pPr>
            <w:r>
              <w:rPr>
                <w:noProof/>
                <w:sz w:val="18"/>
              </w:rPr>
              <w:t>Πληρωμές</w:t>
            </w:r>
          </w:p>
        </w:tc>
        <w:tc>
          <w:tcPr>
            <w:tcW w:w="709" w:type="dxa"/>
            <w:tcBorders>
              <w:top w:val="single" w:sz="4" w:space="0" w:color="auto"/>
            </w:tcBorders>
            <w:vAlign w:val="center"/>
          </w:tcPr>
          <w:p w:rsidR="00A57BFD" w:rsidRDefault="005B0D19">
            <w:pPr>
              <w:spacing w:before="20" w:after="20"/>
              <w:jc w:val="center"/>
              <w:rPr>
                <w:noProof/>
                <w:sz w:val="14"/>
              </w:rPr>
            </w:pPr>
            <w:r>
              <w:rPr>
                <w:noProof/>
                <w:sz w:val="14"/>
              </w:rPr>
              <w:t>(13)</w:t>
            </w:r>
          </w:p>
        </w:tc>
        <w:tc>
          <w:tcPr>
            <w:tcW w:w="974" w:type="dxa"/>
            <w:tcBorders>
              <w:top w:val="single" w:sz="4" w:space="0" w:color="auto"/>
            </w:tcBorders>
            <w:vAlign w:val="center"/>
          </w:tcPr>
          <w:p w:rsidR="00A57BFD" w:rsidRDefault="005B0D19">
            <w:pPr>
              <w:spacing w:before="20" w:after="20"/>
              <w:jc w:val="right"/>
              <w:rPr>
                <w:noProof/>
                <w:sz w:val="16"/>
                <w:szCs w:val="16"/>
              </w:rPr>
            </w:pPr>
            <w:r>
              <w:rPr>
                <w:noProof/>
                <w:color w:val="000000"/>
                <w:sz w:val="16"/>
              </w:rPr>
              <w:t>786,139</w:t>
            </w:r>
          </w:p>
        </w:tc>
        <w:tc>
          <w:tcPr>
            <w:tcW w:w="975" w:type="dxa"/>
            <w:tcBorders>
              <w:top w:val="single" w:sz="4" w:space="0" w:color="auto"/>
            </w:tcBorders>
            <w:vAlign w:val="center"/>
          </w:tcPr>
          <w:p w:rsidR="00A57BFD" w:rsidRDefault="005B0D19">
            <w:pPr>
              <w:spacing w:before="20" w:after="20"/>
              <w:jc w:val="right"/>
              <w:rPr>
                <w:noProof/>
                <w:sz w:val="16"/>
                <w:szCs w:val="16"/>
              </w:rPr>
            </w:pPr>
            <w:r>
              <w:rPr>
                <w:noProof/>
                <w:color w:val="000000"/>
                <w:sz w:val="16"/>
              </w:rPr>
              <w:t>3.703,699</w:t>
            </w:r>
          </w:p>
        </w:tc>
        <w:tc>
          <w:tcPr>
            <w:tcW w:w="974" w:type="dxa"/>
            <w:tcBorders>
              <w:top w:val="single" w:sz="4" w:space="0" w:color="auto"/>
            </w:tcBorders>
            <w:vAlign w:val="center"/>
          </w:tcPr>
          <w:p w:rsidR="00A57BFD" w:rsidRDefault="005B0D19">
            <w:pPr>
              <w:spacing w:before="20" w:after="20"/>
              <w:jc w:val="right"/>
              <w:rPr>
                <w:noProof/>
                <w:sz w:val="16"/>
                <w:szCs w:val="16"/>
              </w:rPr>
            </w:pPr>
            <w:r>
              <w:rPr>
                <w:noProof/>
                <w:color w:val="000000"/>
                <w:sz w:val="16"/>
              </w:rPr>
              <w:t>6.314,312</w:t>
            </w:r>
          </w:p>
        </w:tc>
        <w:tc>
          <w:tcPr>
            <w:tcW w:w="975" w:type="dxa"/>
            <w:tcBorders>
              <w:top w:val="single" w:sz="4" w:space="0" w:color="auto"/>
            </w:tcBorders>
            <w:vAlign w:val="center"/>
          </w:tcPr>
          <w:p w:rsidR="00A57BFD" w:rsidRDefault="005B0D19">
            <w:pPr>
              <w:spacing w:before="20" w:after="20"/>
              <w:jc w:val="right"/>
              <w:rPr>
                <w:noProof/>
                <w:sz w:val="16"/>
                <w:szCs w:val="16"/>
              </w:rPr>
            </w:pPr>
            <w:r>
              <w:rPr>
                <w:noProof/>
                <w:color w:val="000000"/>
                <w:sz w:val="16"/>
              </w:rPr>
              <w:t>7.860,977</w:t>
            </w:r>
          </w:p>
        </w:tc>
        <w:tc>
          <w:tcPr>
            <w:tcW w:w="974" w:type="dxa"/>
            <w:tcBorders>
              <w:top w:val="single" w:sz="4" w:space="0" w:color="auto"/>
            </w:tcBorders>
            <w:vAlign w:val="center"/>
          </w:tcPr>
          <w:p w:rsidR="00A57BFD" w:rsidRDefault="005B0D19">
            <w:pPr>
              <w:spacing w:before="20" w:after="20"/>
              <w:jc w:val="right"/>
              <w:rPr>
                <w:noProof/>
                <w:sz w:val="16"/>
                <w:szCs w:val="16"/>
              </w:rPr>
            </w:pPr>
            <w:r>
              <w:rPr>
                <w:noProof/>
                <w:color w:val="000000"/>
                <w:sz w:val="16"/>
              </w:rPr>
              <w:t>9.356,414</w:t>
            </w:r>
          </w:p>
        </w:tc>
        <w:tc>
          <w:tcPr>
            <w:tcW w:w="975" w:type="dxa"/>
            <w:tcBorders>
              <w:top w:val="single" w:sz="4" w:space="0" w:color="auto"/>
            </w:tcBorders>
            <w:vAlign w:val="center"/>
          </w:tcPr>
          <w:p w:rsidR="00A57BFD" w:rsidRDefault="005B0D19">
            <w:pPr>
              <w:spacing w:before="20" w:after="20"/>
              <w:jc w:val="right"/>
              <w:rPr>
                <w:noProof/>
                <w:sz w:val="16"/>
                <w:szCs w:val="16"/>
              </w:rPr>
            </w:pPr>
            <w:r>
              <w:rPr>
                <w:noProof/>
                <w:color w:val="000000"/>
                <w:sz w:val="16"/>
              </w:rPr>
              <w:t>10.331,700</w:t>
            </w:r>
          </w:p>
        </w:tc>
        <w:tc>
          <w:tcPr>
            <w:tcW w:w="974" w:type="dxa"/>
            <w:tcBorders>
              <w:top w:val="single" w:sz="4" w:space="0" w:color="auto"/>
            </w:tcBorders>
            <w:vAlign w:val="center"/>
          </w:tcPr>
          <w:p w:rsidR="00A57BFD" w:rsidRDefault="005B0D19">
            <w:pPr>
              <w:spacing w:before="20" w:after="20"/>
              <w:jc w:val="right"/>
              <w:rPr>
                <w:b/>
                <w:noProof/>
                <w:sz w:val="16"/>
                <w:szCs w:val="16"/>
              </w:rPr>
            </w:pPr>
            <w:r>
              <w:rPr>
                <w:noProof/>
                <w:color w:val="000000"/>
                <w:sz w:val="16"/>
              </w:rPr>
              <w:t>11.025,236</w:t>
            </w:r>
          </w:p>
        </w:tc>
        <w:tc>
          <w:tcPr>
            <w:tcW w:w="975" w:type="dxa"/>
            <w:tcBorders>
              <w:top w:val="single" w:sz="4" w:space="0" w:color="auto"/>
            </w:tcBorders>
            <w:shd w:val="clear" w:color="auto" w:fill="auto"/>
            <w:vAlign w:val="center"/>
          </w:tcPr>
          <w:p w:rsidR="00A57BFD" w:rsidRDefault="005B0D19">
            <w:pPr>
              <w:spacing w:before="20" w:after="20"/>
              <w:jc w:val="right"/>
              <w:rPr>
                <w:b/>
                <w:noProof/>
                <w:sz w:val="16"/>
                <w:szCs w:val="16"/>
              </w:rPr>
            </w:pPr>
            <w:r>
              <w:rPr>
                <w:noProof/>
                <w:color w:val="000000"/>
                <w:sz w:val="16"/>
              </w:rPr>
              <w:t>29.235,450</w:t>
            </w:r>
          </w:p>
        </w:tc>
        <w:tc>
          <w:tcPr>
            <w:tcW w:w="1054" w:type="dxa"/>
            <w:tcBorders>
              <w:top w:val="single" w:sz="4" w:space="0" w:color="auto"/>
            </w:tcBorders>
            <w:vAlign w:val="center"/>
          </w:tcPr>
          <w:p w:rsidR="00A57BFD" w:rsidRDefault="005B0D19">
            <w:pPr>
              <w:spacing w:before="20" w:after="20"/>
              <w:jc w:val="right"/>
              <w:rPr>
                <w:b/>
                <w:noProof/>
                <w:sz w:val="16"/>
                <w:szCs w:val="16"/>
              </w:rPr>
            </w:pPr>
            <w:r>
              <w:rPr>
                <w:b/>
                <w:noProof/>
                <w:color w:val="000000"/>
                <w:sz w:val="16"/>
              </w:rPr>
              <w:t>78.613,927</w:t>
            </w:r>
          </w:p>
        </w:tc>
      </w:tr>
      <w:tr w:rsidR="00A57BFD">
        <w:trPr>
          <w:trHeight w:val="411"/>
          <w:jc w:val="center"/>
        </w:trPr>
        <w:tc>
          <w:tcPr>
            <w:tcW w:w="3495" w:type="dxa"/>
          </w:tcPr>
          <w:p w:rsidR="00A57BFD" w:rsidRDefault="005B0D19">
            <w:pPr>
              <w:jc w:val="left"/>
              <w:rPr>
                <w:noProof/>
                <w:sz w:val="20"/>
              </w:rPr>
            </w:pPr>
            <w:r>
              <w:rPr>
                <w:noProof/>
                <w:sz w:val="20"/>
              </w:rPr>
              <w:t>08 03 YY – Επιχειρησιακή τεχνική βοήθεια ΕΓΤΑΑ της ΕΕ</w:t>
            </w:r>
          </w:p>
        </w:tc>
        <w:tc>
          <w:tcPr>
            <w:tcW w:w="1417" w:type="dxa"/>
            <w:vAlign w:val="center"/>
          </w:tcPr>
          <w:p w:rsidR="00A57BFD" w:rsidRDefault="005B0D19">
            <w:pPr>
              <w:spacing w:before="20" w:after="20"/>
              <w:jc w:val="left"/>
              <w:rPr>
                <w:noProof/>
                <w:sz w:val="18"/>
              </w:rPr>
            </w:pPr>
            <w:r>
              <w:rPr>
                <w:noProof/>
                <w:sz w:val="18"/>
              </w:rPr>
              <w:t>Αναλήψεις υποχρεώσεων = Πληρωμές</w:t>
            </w:r>
            <w:r>
              <w:rPr>
                <w:rStyle w:val="af7"/>
                <w:noProof/>
                <w:sz w:val="18"/>
              </w:rPr>
              <w:footnoteReference w:id="49"/>
            </w:r>
          </w:p>
        </w:tc>
        <w:tc>
          <w:tcPr>
            <w:tcW w:w="709" w:type="dxa"/>
            <w:vAlign w:val="center"/>
          </w:tcPr>
          <w:p w:rsidR="00A57BFD" w:rsidRDefault="005B0D19">
            <w:pPr>
              <w:spacing w:before="20" w:after="20"/>
              <w:jc w:val="center"/>
              <w:rPr>
                <w:noProof/>
                <w:sz w:val="14"/>
              </w:rPr>
            </w:pPr>
            <w:r>
              <w:rPr>
                <w:noProof/>
                <w:sz w:val="14"/>
              </w:rPr>
              <w:t>(14)</w:t>
            </w:r>
          </w:p>
        </w:tc>
        <w:tc>
          <w:tcPr>
            <w:tcW w:w="974" w:type="dxa"/>
            <w:vAlign w:val="center"/>
          </w:tcPr>
          <w:p w:rsidR="00A57BFD" w:rsidRDefault="005B0D19">
            <w:pPr>
              <w:spacing w:before="20" w:after="20"/>
              <w:jc w:val="right"/>
              <w:rPr>
                <w:noProof/>
                <w:sz w:val="16"/>
                <w:szCs w:val="16"/>
              </w:rPr>
            </w:pPr>
            <w:r>
              <w:rPr>
                <w:noProof/>
                <w:color w:val="000000"/>
                <w:sz w:val="16"/>
              </w:rPr>
              <w:t>22,147</w:t>
            </w:r>
          </w:p>
        </w:tc>
        <w:tc>
          <w:tcPr>
            <w:tcW w:w="975" w:type="dxa"/>
            <w:vAlign w:val="center"/>
          </w:tcPr>
          <w:p w:rsidR="00A57BFD" w:rsidRDefault="005B0D19">
            <w:pPr>
              <w:spacing w:before="20" w:after="20"/>
              <w:jc w:val="right"/>
              <w:rPr>
                <w:noProof/>
                <w:sz w:val="16"/>
                <w:szCs w:val="16"/>
              </w:rPr>
            </w:pPr>
            <w:r>
              <w:rPr>
                <w:noProof/>
                <w:color w:val="000000"/>
                <w:sz w:val="16"/>
              </w:rPr>
              <w:t>22,147</w:t>
            </w:r>
          </w:p>
        </w:tc>
        <w:tc>
          <w:tcPr>
            <w:tcW w:w="974" w:type="dxa"/>
            <w:vAlign w:val="center"/>
          </w:tcPr>
          <w:p w:rsidR="00A57BFD" w:rsidRDefault="005B0D19">
            <w:pPr>
              <w:spacing w:before="20" w:after="20"/>
              <w:jc w:val="right"/>
              <w:rPr>
                <w:noProof/>
                <w:sz w:val="16"/>
                <w:szCs w:val="16"/>
              </w:rPr>
            </w:pPr>
            <w:r>
              <w:rPr>
                <w:noProof/>
                <w:color w:val="000000"/>
                <w:sz w:val="16"/>
              </w:rPr>
              <w:t>22,147</w:t>
            </w:r>
          </w:p>
        </w:tc>
        <w:tc>
          <w:tcPr>
            <w:tcW w:w="975" w:type="dxa"/>
            <w:vAlign w:val="center"/>
          </w:tcPr>
          <w:p w:rsidR="00A57BFD" w:rsidRDefault="005B0D19">
            <w:pPr>
              <w:spacing w:before="20" w:after="20"/>
              <w:jc w:val="right"/>
              <w:rPr>
                <w:noProof/>
                <w:sz w:val="16"/>
                <w:szCs w:val="16"/>
              </w:rPr>
            </w:pPr>
            <w:r>
              <w:rPr>
                <w:noProof/>
                <w:color w:val="000000"/>
                <w:sz w:val="16"/>
              </w:rPr>
              <w:t>22,147</w:t>
            </w:r>
          </w:p>
        </w:tc>
        <w:tc>
          <w:tcPr>
            <w:tcW w:w="974" w:type="dxa"/>
            <w:vAlign w:val="center"/>
          </w:tcPr>
          <w:p w:rsidR="00A57BFD" w:rsidRDefault="005B0D19">
            <w:pPr>
              <w:spacing w:before="20" w:after="20"/>
              <w:jc w:val="right"/>
              <w:rPr>
                <w:noProof/>
                <w:sz w:val="16"/>
                <w:szCs w:val="16"/>
              </w:rPr>
            </w:pPr>
            <w:r>
              <w:rPr>
                <w:noProof/>
                <w:color w:val="000000"/>
                <w:sz w:val="16"/>
              </w:rPr>
              <w:t>22,147</w:t>
            </w:r>
          </w:p>
        </w:tc>
        <w:tc>
          <w:tcPr>
            <w:tcW w:w="975" w:type="dxa"/>
            <w:vAlign w:val="center"/>
          </w:tcPr>
          <w:p w:rsidR="00A57BFD" w:rsidRDefault="005B0D19">
            <w:pPr>
              <w:spacing w:before="20" w:after="20"/>
              <w:jc w:val="right"/>
              <w:rPr>
                <w:noProof/>
                <w:sz w:val="16"/>
                <w:szCs w:val="16"/>
              </w:rPr>
            </w:pPr>
            <w:r>
              <w:rPr>
                <w:noProof/>
                <w:color w:val="000000"/>
                <w:sz w:val="16"/>
              </w:rPr>
              <w:t>22,147</w:t>
            </w:r>
          </w:p>
        </w:tc>
        <w:tc>
          <w:tcPr>
            <w:tcW w:w="974" w:type="dxa"/>
            <w:vAlign w:val="center"/>
          </w:tcPr>
          <w:p w:rsidR="00A57BFD" w:rsidRDefault="005B0D19">
            <w:pPr>
              <w:spacing w:before="20" w:after="20"/>
              <w:jc w:val="right"/>
              <w:rPr>
                <w:noProof/>
                <w:sz w:val="16"/>
                <w:szCs w:val="16"/>
              </w:rPr>
            </w:pPr>
            <w:r>
              <w:rPr>
                <w:noProof/>
                <w:color w:val="000000"/>
                <w:sz w:val="16"/>
              </w:rPr>
              <w:t>22,147</w:t>
            </w:r>
          </w:p>
        </w:tc>
        <w:tc>
          <w:tcPr>
            <w:tcW w:w="975" w:type="dxa"/>
            <w:shd w:val="clear" w:color="auto" w:fill="A6A6A6" w:themeFill="background1" w:themeFillShade="A6"/>
            <w:vAlign w:val="center"/>
          </w:tcPr>
          <w:p w:rsidR="00A57BFD" w:rsidRDefault="005B0D19">
            <w:pPr>
              <w:spacing w:before="20" w:after="20"/>
              <w:jc w:val="right"/>
              <w:rPr>
                <w:b/>
                <w:noProof/>
                <w:sz w:val="16"/>
                <w:szCs w:val="16"/>
              </w:rPr>
            </w:pPr>
            <w:r>
              <w:rPr>
                <w:b/>
                <w:noProof/>
                <w:color w:val="000000"/>
                <w:sz w:val="16"/>
              </w:rPr>
              <w:t> </w:t>
            </w:r>
          </w:p>
        </w:tc>
        <w:tc>
          <w:tcPr>
            <w:tcW w:w="1054" w:type="dxa"/>
            <w:vAlign w:val="center"/>
          </w:tcPr>
          <w:p w:rsidR="00A57BFD" w:rsidRDefault="005B0D19">
            <w:pPr>
              <w:spacing w:before="20" w:after="20"/>
              <w:jc w:val="right"/>
              <w:rPr>
                <w:b/>
                <w:noProof/>
                <w:sz w:val="16"/>
                <w:szCs w:val="16"/>
              </w:rPr>
            </w:pPr>
            <w:r>
              <w:rPr>
                <w:b/>
                <w:noProof/>
                <w:color w:val="000000"/>
                <w:sz w:val="16"/>
              </w:rPr>
              <w:t>155,029</w:t>
            </w:r>
          </w:p>
        </w:tc>
      </w:tr>
      <w:tr w:rsidR="00A57BFD">
        <w:trPr>
          <w:trHeight w:val="319"/>
          <w:jc w:val="center"/>
        </w:trPr>
        <w:tc>
          <w:tcPr>
            <w:tcW w:w="3495" w:type="dxa"/>
            <w:tcBorders>
              <w:bottom w:val="single" w:sz="12" w:space="0" w:color="auto"/>
            </w:tcBorders>
            <w:vAlign w:val="center"/>
          </w:tcPr>
          <w:p w:rsidR="00A57BFD" w:rsidRDefault="005B0D19">
            <w:pPr>
              <w:spacing w:before="20" w:after="20"/>
              <w:jc w:val="left"/>
              <w:rPr>
                <w:noProof/>
              </w:rPr>
            </w:pPr>
            <w:r>
              <w:rPr>
                <w:noProof/>
                <w:sz w:val="20"/>
              </w:rPr>
              <w:t>08 01 YY – Πιστώσεις διοικητικού χαρακτήρα χρηματοδοτούμενες από το ΕΓΤΑΑ</w:t>
            </w:r>
          </w:p>
        </w:tc>
        <w:tc>
          <w:tcPr>
            <w:tcW w:w="1417" w:type="dxa"/>
            <w:tcBorders>
              <w:bottom w:val="single" w:sz="12" w:space="0" w:color="auto"/>
            </w:tcBorders>
            <w:vAlign w:val="center"/>
          </w:tcPr>
          <w:p w:rsidR="00A57BFD" w:rsidRDefault="005B0D19">
            <w:pPr>
              <w:spacing w:before="40" w:after="40"/>
              <w:jc w:val="left"/>
              <w:rPr>
                <w:noProof/>
                <w:sz w:val="18"/>
              </w:rPr>
            </w:pPr>
            <w:r>
              <w:rPr>
                <w:noProof/>
                <w:sz w:val="18"/>
              </w:rPr>
              <w:t>Αναλήψεις υποχρεώσεων = Πληρωμές</w:t>
            </w:r>
          </w:p>
        </w:tc>
        <w:tc>
          <w:tcPr>
            <w:tcW w:w="709" w:type="dxa"/>
            <w:tcBorders>
              <w:bottom w:val="single" w:sz="12" w:space="0" w:color="auto"/>
            </w:tcBorders>
            <w:vAlign w:val="center"/>
          </w:tcPr>
          <w:p w:rsidR="00A57BFD" w:rsidRDefault="005B0D19">
            <w:pPr>
              <w:spacing w:before="40" w:after="40"/>
              <w:jc w:val="center"/>
              <w:rPr>
                <w:noProof/>
                <w:sz w:val="14"/>
              </w:rPr>
            </w:pPr>
            <w:r>
              <w:rPr>
                <w:noProof/>
                <w:sz w:val="14"/>
              </w:rPr>
              <w:t>(15)</w:t>
            </w:r>
          </w:p>
        </w:tc>
        <w:tc>
          <w:tcPr>
            <w:tcW w:w="974" w:type="dxa"/>
            <w:tcBorders>
              <w:bottom w:val="single" w:sz="12" w:space="0" w:color="auto"/>
            </w:tcBorders>
            <w:vAlign w:val="center"/>
          </w:tcPr>
          <w:p w:rsidR="00A57BFD" w:rsidRDefault="005B0D19">
            <w:pPr>
              <w:spacing w:before="40" w:after="40"/>
              <w:jc w:val="right"/>
              <w:rPr>
                <w:noProof/>
                <w:sz w:val="16"/>
                <w:szCs w:val="16"/>
              </w:rPr>
            </w:pPr>
            <w:r>
              <w:rPr>
                <w:noProof/>
                <w:color w:val="000000"/>
                <w:sz w:val="16"/>
              </w:rPr>
              <w:t>6,000</w:t>
            </w:r>
          </w:p>
        </w:tc>
        <w:tc>
          <w:tcPr>
            <w:tcW w:w="975" w:type="dxa"/>
            <w:tcBorders>
              <w:bottom w:val="single" w:sz="12" w:space="0" w:color="auto"/>
            </w:tcBorders>
            <w:vAlign w:val="center"/>
          </w:tcPr>
          <w:p w:rsidR="00A57BFD" w:rsidRDefault="005B0D19">
            <w:pPr>
              <w:spacing w:before="40" w:after="40"/>
              <w:jc w:val="right"/>
              <w:rPr>
                <w:noProof/>
                <w:sz w:val="16"/>
                <w:szCs w:val="16"/>
              </w:rPr>
            </w:pPr>
            <w:r>
              <w:rPr>
                <w:noProof/>
                <w:color w:val="000000"/>
                <w:sz w:val="16"/>
              </w:rPr>
              <w:t>6,000</w:t>
            </w:r>
          </w:p>
        </w:tc>
        <w:tc>
          <w:tcPr>
            <w:tcW w:w="974" w:type="dxa"/>
            <w:tcBorders>
              <w:bottom w:val="single" w:sz="12" w:space="0" w:color="auto"/>
            </w:tcBorders>
            <w:vAlign w:val="center"/>
          </w:tcPr>
          <w:p w:rsidR="00A57BFD" w:rsidRDefault="005B0D19">
            <w:pPr>
              <w:spacing w:before="40" w:after="40"/>
              <w:jc w:val="right"/>
              <w:rPr>
                <w:noProof/>
                <w:sz w:val="16"/>
                <w:szCs w:val="16"/>
              </w:rPr>
            </w:pPr>
            <w:r>
              <w:rPr>
                <w:noProof/>
                <w:color w:val="000000"/>
                <w:sz w:val="16"/>
              </w:rPr>
              <w:t>6,000</w:t>
            </w:r>
          </w:p>
        </w:tc>
        <w:tc>
          <w:tcPr>
            <w:tcW w:w="975" w:type="dxa"/>
            <w:tcBorders>
              <w:bottom w:val="single" w:sz="12" w:space="0" w:color="auto"/>
            </w:tcBorders>
            <w:vAlign w:val="center"/>
          </w:tcPr>
          <w:p w:rsidR="00A57BFD" w:rsidRDefault="005B0D19">
            <w:pPr>
              <w:spacing w:before="40" w:after="40"/>
              <w:jc w:val="right"/>
              <w:rPr>
                <w:noProof/>
                <w:sz w:val="16"/>
                <w:szCs w:val="16"/>
              </w:rPr>
            </w:pPr>
            <w:r>
              <w:rPr>
                <w:noProof/>
                <w:color w:val="000000"/>
                <w:sz w:val="16"/>
              </w:rPr>
              <w:t>6,000</w:t>
            </w:r>
          </w:p>
        </w:tc>
        <w:tc>
          <w:tcPr>
            <w:tcW w:w="974" w:type="dxa"/>
            <w:tcBorders>
              <w:bottom w:val="single" w:sz="12" w:space="0" w:color="auto"/>
            </w:tcBorders>
            <w:vAlign w:val="center"/>
          </w:tcPr>
          <w:p w:rsidR="00A57BFD" w:rsidRDefault="005B0D19">
            <w:pPr>
              <w:spacing w:before="40" w:after="40"/>
              <w:jc w:val="right"/>
              <w:rPr>
                <w:noProof/>
                <w:sz w:val="16"/>
                <w:szCs w:val="16"/>
              </w:rPr>
            </w:pPr>
            <w:r>
              <w:rPr>
                <w:noProof/>
                <w:color w:val="000000"/>
                <w:sz w:val="16"/>
              </w:rPr>
              <w:t>6,000</w:t>
            </w:r>
          </w:p>
        </w:tc>
        <w:tc>
          <w:tcPr>
            <w:tcW w:w="975" w:type="dxa"/>
            <w:tcBorders>
              <w:bottom w:val="single" w:sz="12" w:space="0" w:color="auto"/>
            </w:tcBorders>
            <w:vAlign w:val="center"/>
          </w:tcPr>
          <w:p w:rsidR="00A57BFD" w:rsidRDefault="005B0D19">
            <w:pPr>
              <w:spacing w:before="40" w:after="40"/>
              <w:jc w:val="right"/>
              <w:rPr>
                <w:noProof/>
                <w:sz w:val="16"/>
                <w:szCs w:val="16"/>
              </w:rPr>
            </w:pPr>
            <w:r>
              <w:rPr>
                <w:noProof/>
                <w:color w:val="000000"/>
                <w:sz w:val="16"/>
              </w:rPr>
              <w:t>6,000</w:t>
            </w:r>
          </w:p>
        </w:tc>
        <w:tc>
          <w:tcPr>
            <w:tcW w:w="974" w:type="dxa"/>
            <w:tcBorders>
              <w:bottom w:val="single" w:sz="12" w:space="0" w:color="auto"/>
            </w:tcBorders>
            <w:vAlign w:val="center"/>
          </w:tcPr>
          <w:p w:rsidR="00A57BFD" w:rsidRDefault="005B0D19">
            <w:pPr>
              <w:spacing w:before="40" w:after="40"/>
              <w:jc w:val="right"/>
              <w:rPr>
                <w:noProof/>
                <w:sz w:val="16"/>
                <w:szCs w:val="16"/>
              </w:rPr>
            </w:pPr>
            <w:r>
              <w:rPr>
                <w:noProof/>
                <w:color w:val="000000"/>
                <w:sz w:val="16"/>
              </w:rPr>
              <w:t>6,000</w:t>
            </w:r>
          </w:p>
        </w:tc>
        <w:tc>
          <w:tcPr>
            <w:tcW w:w="975" w:type="dxa"/>
            <w:tcBorders>
              <w:bottom w:val="single" w:sz="12" w:space="0" w:color="auto"/>
            </w:tcBorders>
            <w:shd w:val="clear" w:color="auto" w:fill="A6A6A6" w:themeFill="background1" w:themeFillShade="A6"/>
            <w:vAlign w:val="center"/>
          </w:tcPr>
          <w:p w:rsidR="00A57BFD" w:rsidRDefault="005B0D19">
            <w:pPr>
              <w:spacing w:before="40" w:after="40"/>
              <w:jc w:val="right"/>
              <w:rPr>
                <w:b/>
                <w:noProof/>
                <w:sz w:val="16"/>
                <w:szCs w:val="16"/>
              </w:rPr>
            </w:pPr>
            <w:r>
              <w:rPr>
                <w:b/>
                <w:noProof/>
                <w:color w:val="000000"/>
                <w:sz w:val="16"/>
              </w:rPr>
              <w:t> </w:t>
            </w:r>
          </w:p>
        </w:tc>
        <w:tc>
          <w:tcPr>
            <w:tcW w:w="1054" w:type="dxa"/>
            <w:tcBorders>
              <w:bottom w:val="single" w:sz="12" w:space="0" w:color="auto"/>
            </w:tcBorders>
            <w:vAlign w:val="center"/>
          </w:tcPr>
          <w:p w:rsidR="00A57BFD" w:rsidRDefault="005B0D19">
            <w:pPr>
              <w:spacing w:before="40" w:after="40"/>
              <w:jc w:val="right"/>
              <w:rPr>
                <w:b/>
                <w:noProof/>
                <w:sz w:val="16"/>
                <w:szCs w:val="16"/>
              </w:rPr>
            </w:pPr>
            <w:r>
              <w:rPr>
                <w:b/>
                <w:noProof/>
                <w:color w:val="000000"/>
                <w:sz w:val="16"/>
              </w:rPr>
              <w:t>42,000</w:t>
            </w:r>
          </w:p>
        </w:tc>
      </w:tr>
      <w:tr w:rsidR="00A57BFD">
        <w:trPr>
          <w:jc w:val="center"/>
        </w:trPr>
        <w:tc>
          <w:tcPr>
            <w:tcW w:w="3495" w:type="dxa"/>
            <w:vMerge w:val="restart"/>
            <w:tcBorders>
              <w:top w:val="single" w:sz="12" w:space="0" w:color="auto"/>
              <w:left w:val="single" w:sz="12" w:space="0" w:color="auto"/>
            </w:tcBorders>
            <w:vAlign w:val="center"/>
          </w:tcPr>
          <w:p w:rsidR="00A57BFD" w:rsidRDefault="005B0D19">
            <w:pPr>
              <w:jc w:val="left"/>
              <w:rPr>
                <w:b/>
                <w:noProof/>
              </w:rPr>
            </w:pPr>
            <w:r>
              <w:rPr>
                <w:b/>
                <w:noProof/>
                <w:sz w:val="22"/>
              </w:rPr>
              <w:t>ΜΕΡΙΚΟ ΣΥΝΟΛΟ — ΕΓΤΑΑ</w:t>
            </w:r>
          </w:p>
        </w:tc>
        <w:tc>
          <w:tcPr>
            <w:tcW w:w="1417" w:type="dxa"/>
            <w:tcBorders>
              <w:top w:val="single" w:sz="12" w:space="0" w:color="auto"/>
            </w:tcBorders>
            <w:vAlign w:val="center"/>
          </w:tcPr>
          <w:p w:rsidR="00A57BFD" w:rsidRDefault="005B0D19">
            <w:pPr>
              <w:jc w:val="left"/>
              <w:rPr>
                <w:noProof/>
                <w:sz w:val="18"/>
              </w:rPr>
            </w:pPr>
            <w:r>
              <w:rPr>
                <w:noProof/>
                <w:sz w:val="18"/>
              </w:rPr>
              <w:t xml:space="preserve">Αναλήψεις </w:t>
            </w:r>
            <w:r>
              <w:rPr>
                <w:noProof/>
                <w:sz w:val="18"/>
              </w:rPr>
              <w:lastRenderedPageBreak/>
              <w:t>υποχρεώσεων</w:t>
            </w:r>
          </w:p>
        </w:tc>
        <w:tc>
          <w:tcPr>
            <w:tcW w:w="709" w:type="dxa"/>
            <w:tcBorders>
              <w:top w:val="single" w:sz="12" w:space="0" w:color="auto"/>
            </w:tcBorders>
            <w:vAlign w:val="center"/>
          </w:tcPr>
          <w:p w:rsidR="00A57BFD" w:rsidRDefault="005B0D19">
            <w:pPr>
              <w:jc w:val="center"/>
              <w:rPr>
                <w:noProof/>
                <w:sz w:val="14"/>
              </w:rPr>
            </w:pPr>
            <w:r>
              <w:rPr>
                <w:noProof/>
                <w:sz w:val="14"/>
              </w:rPr>
              <w:lastRenderedPageBreak/>
              <w:t>(16)=(12+14+1</w:t>
            </w:r>
            <w:r>
              <w:rPr>
                <w:noProof/>
                <w:sz w:val="14"/>
              </w:rPr>
              <w:lastRenderedPageBreak/>
              <w:t>5)</w:t>
            </w:r>
          </w:p>
        </w:tc>
        <w:tc>
          <w:tcPr>
            <w:tcW w:w="974" w:type="dxa"/>
            <w:tcBorders>
              <w:top w:val="single" w:sz="12" w:space="0" w:color="auto"/>
            </w:tcBorders>
            <w:vAlign w:val="center"/>
          </w:tcPr>
          <w:p w:rsidR="00A57BFD" w:rsidRDefault="005B0D19">
            <w:pPr>
              <w:spacing w:before="20" w:after="20"/>
              <w:jc w:val="right"/>
              <w:rPr>
                <w:noProof/>
                <w:sz w:val="16"/>
                <w:szCs w:val="16"/>
              </w:rPr>
            </w:pPr>
            <w:r>
              <w:rPr>
                <w:noProof/>
                <w:color w:val="000000"/>
                <w:sz w:val="16"/>
              </w:rPr>
              <w:lastRenderedPageBreak/>
              <w:t>11.258,708</w:t>
            </w:r>
          </w:p>
        </w:tc>
        <w:tc>
          <w:tcPr>
            <w:tcW w:w="975" w:type="dxa"/>
            <w:tcBorders>
              <w:top w:val="single" w:sz="12" w:space="0" w:color="auto"/>
            </w:tcBorders>
            <w:vAlign w:val="center"/>
          </w:tcPr>
          <w:p w:rsidR="00A57BFD" w:rsidRDefault="005B0D19">
            <w:pPr>
              <w:spacing w:before="20" w:after="20"/>
              <w:jc w:val="right"/>
              <w:rPr>
                <w:noProof/>
                <w:sz w:val="16"/>
                <w:szCs w:val="16"/>
              </w:rPr>
            </w:pPr>
            <w:r>
              <w:rPr>
                <w:noProof/>
                <w:color w:val="000000"/>
                <w:sz w:val="16"/>
              </w:rPr>
              <w:t>11.258,708</w:t>
            </w:r>
          </w:p>
        </w:tc>
        <w:tc>
          <w:tcPr>
            <w:tcW w:w="974" w:type="dxa"/>
            <w:tcBorders>
              <w:top w:val="single" w:sz="12" w:space="0" w:color="auto"/>
            </w:tcBorders>
            <w:vAlign w:val="center"/>
          </w:tcPr>
          <w:p w:rsidR="00A57BFD" w:rsidRDefault="005B0D19">
            <w:pPr>
              <w:spacing w:before="20" w:after="20"/>
              <w:jc w:val="right"/>
              <w:rPr>
                <w:noProof/>
                <w:sz w:val="16"/>
                <w:szCs w:val="16"/>
              </w:rPr>
            </w:pPr>
            <w:r>
              <w:rPr>
                <w:noProof/>
                <w:color w:val="000000"/>
                <w:sz w:val="16"/>
              </w:rPr>
              <w:t>11.258,708</w:t>
            </w:r>
          </w:p>
        </w:tc>
        <w:tc>
          <w:tcPr>
            <w:tcW w:w="975" w:type="dxa"/>
            <w:tcBorders>
              <w:top w:val="single" w:sz="12" w:space="0" w:color="auto"/>
            </w:tcBorders>
            <w:vAlign w:val="center"/>
          </w:tcPr>
          <w:p w:rsidR="00A57BFD" w:rsidRDefault="005B0D19">
            <w:pPr>
              <w:spacing w:before="20" w:after="20"/>
              <w:jc w:val="right"/>
              <w:rPr>
                <w:noProof/>
                <w:sz w:val="16"/>
                <w:szCs w:val="16"/>
              </w:rPr>
            </w:pPr>
            <w:r>
              <w:rPr>
                <w:noProof/>
                <w:color w:val="000000"/>
                <w:sz w:val="16"/>
              </w:rPr>
              <w:t>11.258,708</w:t>
            </w:r>
          </w:p>
        </w:tc>
        <w:tc>
          <w:tcPr>
            <w:tcW w:w="974" w:type="dxa"/>
            <w:tcBorders>
              <w:top w:val="single" w:sz="12" w:space="0" w:color="auto"/>
            </w:tcBorders>
            <w:vAlign w:val="center"/>
          </w:tcPr>
          <w:p w:rsidR="00A57BFD" w:rsidRDefault="005B0D19">
            <w:pPr>
              <w:spacing w:before="20" w:after="20"/>
              <w:jc w:val="right"/>
              <w:rPr>
                <w:noProof/>
                <w:sz w:val="16"/>
                <w:szCs w:val="16"/>
              </w:rPr>
            </w:pPr>
            <w:r>
              <w:rPr>
                <w:noProof/>
                <w:color w:val="000000"/>
                <w:sz w:val="16"/>
              </w:rPr>
              <w:t>11.258,708</w:t>
            </w:r>
          </w:p>
        </w:tc>
        <w:tc>
          <w:tcPr>
            <w:tcW w:w="975" w:type="dxa"/>
            <w:tcBorders>
              <w:top w:val="single" w:sz="12" w:space="0" w:color="auto"/>
            </w:tcBorders>
            <w:vAlign w:val="center"/>
          </w:tcPr>
          <w:p w:rsidR="00A57BFD" w:rsidRDefault="005B0D19">
            <w:pPr>
              <w:spacing w:before="20" w:after="20"/>
              <w:jc w:val="right"/>
              <w:rPr>
                <w:noProof/>
                <w:sz w:val="16"/>
                <w:szCs w:val="16"/>
              </w:rPr>
            </w:pPr>
            <w:r>
              <w:rPr>
                <w:noProof/>
                <w:color w:val="000000"/>
                <w:sz w:val="16"/>
              </w:rPr>
              <w:t>11.258,708</w:t>
            </w:r>
          </w:p>
        </w:tc>
        <w:tc>
          <w:tcPr>
            <w:tcW w:w="974" w:type="dxa"/>
            <w:tcBorders>
              <w:top w:val="single" w:sz="12" w:space="0" w:color="auto"/>
            </w:tcBorders>
            <w:vAlign w:val="center"/>
          </w:tcPr>
          <w:p w:rsidR="00A57BFD" w:rsidRDefault="005B0D19">
            <w:pPr>
              <w:spacing w:before="20" w:after="20"/>
              <w:jc w:val="right"/>
              <w:rPr>
                <w:b/>
                <w:noProof/>
                <w:sz w:val="16"/>
                <w:szCs w:val="16"/>
              </w:rPr>
            </w:pPr>
            <w:r>
              <w:rPr>
                <w:noProof/>
                <w:color w:val="000000"/>
                <w:sz w:val="16"/>
              </w:rPr>
              <w:t>11.258,708</w:t>
            </w:r>
          </w:p>
        </w:tc>
        <w:tc>
          <w:tcPr>
            <w:tcW w:w="975" w:type="dxa"/>
            <w:tcBorders>
              <w:top w:val="single" w:sz="12" w:space="0" w:color="auto"/>
              <w:bottom w:val="single" w:sz="4" w:space="0" w:color="auto"/>
            </w:tcBorders>
            <w:shd w:val="clear" w:color="auto" w:fill="A6A6A6" w:themeFill="background1" w:themeFillShade="A6"/>
            <w:vAlign w:val="center"/>
          </w:tcPr>
          <w:p w:rsidR="00A57BFD" w:rsidRDefault="005B0D19">
            <w:pPr>
              <w:spacing w:before="20" w:after="20"/>
              <w:jc w:val="right"/>
              <w:rPr>
                <w:b/>
                <w:noProof/>
                <w:sz w:val="16"/>
                <w:szCs w:val="16"/>
              </w:rPr>
            </w:pPr>
            <w:r>
              <w:rPr>
                <w:b/>
                <w:noProof/>
                <w:color w:val="000000"/>
                <w:sz w:val="16"/>
              </w:rPr>
              <w:t> </w:t>
            </w:r>
          </w:p>
        </w:tc>
        <w:tc>
          <w:tcPr>
            <w:tcW w:w="1054" w:type="dxa"/>
            <w:tcBorders>
              <w:top w:val="single" w:sz="12" w:space="0" w:color="auto"/>
              <w:right w:val="single" w:sz="12" w:space="0" w:color="auto"/>
            </w:tcBorders>
            <w:vAlign w:val="center"/>
          </w:tcPr>
          <w:p w:rsidR="00A57BFD" w:rsidRDefault="005B0D19">
            <w:pPr>
              <w:spacing w:before="20" w:after="20"/>
              <w:jc w:val="right"/>
              <w:rPr>
                <w:b/>
                <w:noProof/>
                <w:color w:val="000000"/>
                <w:sz w:val="16"/>
              </w:rPr>
            </w:pPr>
            <w:r>
              <w:rPr>
                <w:b/>
                <w:noProof/>
                <w:color w:val="000000"/>
                <w:sz w:val="16"/>
              </w:rPr>
              <w:t>78.810,955</w:t>
            </w:r>
          </w:p>
        </w:tc>
      </w:tr>
      <w:tr w:rsidR="00A57BFD">
        <w:trPr>
          <w:jc w:val="center"/>
        </w:trPr>
        <w:tc>
          <w:tcPr>
            <w:tcW w:w="3495" w:type="dxa"/>
            <w:vMerge/>
            <w:tcBorders>
              <w:left w:val="single" w:sz="12" w:space="0" w:color="auto"/>
              <w:bottom w:val="single" w:sz="12" w:space="0" w:color="auto"/>
            </w:tcBorders>
            <w:vAlign w:val="center"/>
          </w:tcPr>
          <w:p w:rsidR="00A57BFD" w:rsidRDefault="00A57BFD">
            <w:pPr>
              <w:jc w:val="left"/>
              <w:rPr>
                <w:b/>
                <w:noProof/>
              </w:rPr>
            </w:pPr>
          </w:p>
        </w:tc>
        <w:tc>
          <w:tcPr>
            <w:tcW w:w="1417" w:type="dxa"/>
            <w:tcBorders>
              <w:bottom w:val="single" w:sz="12" w:space="0" w:color="auto"/>
            </w:tcBorders>
            <w:vAlign w:val="center"/>
          </w:tcPr>
          <w:p w:rsidR="00A57BFD" w:rsidRDefault="005B0D19">
            <w:pPr>
              <w:jc w:val="left"/>
              <w:rPr>
                <w:noProof/>
                <w:sz w:val="18"/>
              </w:rPr>
            </w:pPr>
            <w:r>
              <w:rPr>
                <w:noProof/>
                <w:sz w:val="18"/>
              </w:rPr>
              <w:t>Πληρωμές</w:t>
            </w:r>
          </w:p>
        </w:tc>
        <w:tc>
          <w:tcPr>
            <w:tcW w:w="709" w:type="dxa"/>
            <w:tcBorders>
              <w:bottom w:val="single" w:sz="12" w:space="0" w:color="auto"/>
            </w:tcBorders>
            <w:vAlign w:val="center"/>
          </w:tcPr>
          <w:p w:rsidR="00A57BFD" w:rsidRDefault="005B0D19">
            <w:pPr>
              <w:jc w:val="center"/>
              <w:rPr>
                <w:noProof/>
                <w:sz w:val="14"/>
              </w:rPr>
            </w:pPr>
            <w:r>
              <w:rPr>
                <w:noProof/>
                <w:sz w:val="14"/>
              </w:rPr>
              <w:t>(17)=(13+14+15)</w:t>
            </w:r>
          </w:p>
        </w:tc>
        <w:tc>
          <w:tcPr>
            <w:tcW w:w="974" w:type="dxa"/>
            <w:tcBorders>
              <w:bottom w:val="single" w:sz="12" w:space="0" w:color="auto"/>
            </w:tcBorders>
            <w:vAlign w:val="center"/>
          </w:tcPr>
          <w:p w:rsidR="00A57BFD" w:rsidRDefault="005B0D19">
            <w:pPr>
              <w:spacing w:before="20" w:after="20"/>
              <w:jc w:val="right"/>
              <w:rPr>
                <w:noProof/>
                <w:sz w:val="16"/>
                <w:szCs w:val="16"/>
              </w:rPr>
            </w:pPr>
            <w:r>
              <w:rPr>
                <w:noProof/>
                <w:color w:val="000000"/>
                <w:sz w:val="16"/>
              </w:rPr>
              <w:t>814,286</w:t>
            </w:r>
          </w:p>
        </w:tc>
        <w:tc>
          <w:tcPr>
            <w:tcW w:w="975" w:type="dxa"/>
            <w:tcBorders>
              <w:bottom w:val="single" w:sz="12" w:space="0" w:color="auto"/>
            </w:tcBorders>
            <w:vAlign w:val="center"/>
          </w:tcPr>
          <w:p w:rsidR="00A57BFD" w:rsidRDefault="005B0D19">
            <w:pPr>
              <w:spacing w:before="20" w:after="20"/>
              <w:jc w:val="right"/>
              <w:rPr>
                <w:noProof/>
                <w:sz w:val="16"/>
                <w:szCs w:val="16"/>
              </w:rPr>
            </w:pPr>
            <w:r>
              <w:rPr>
                <w:noProof/>
                <w:color w:val="000000"/>
                <w:sz w:val="16"/>
              </w:rPr>
              <w:t>3.731,846</w:t>
            </w:r>
          </w:p>
        </w:tc>
        <w:tc>
          <w:tcPr>
            <w:tcW w:w="974" w:type="dxa"/>
            <w:tcBorders>
              <w:bottom w:val="single" w:sz="12" w:space="0" w:color="auto"/>
            </w:tcBorders>
            <w:vAlign w:val="center"/>
          </w:tcPr>
          <w:p w:rsidR="00A57BFD" w:rsidRDefault="005B0D19">
            <w:pPr>
              <w:spacing w:before="20" w:after="20"/>
              <w:jc w:val="right"/>
              <w:rPr>
                <w:noProof/>
                <w:sz w:val="16"/>
                <w:szCs w:val="16"/>
              </w:rPr>
            </w:pPr>
            <w:r>
              <w:rPr>
                <w:noProof/>
                <w:color w:val="000000"/>
                <w:sz w:val="16"/>
              </w:rPr>
              <w:t>6.342,459</w:t>
            </w:r>
          </w:p>
        </w:tc>
        <w:tc>
          <w:tcPr>
            <w:tcW w:w="975" w:type="dxa"/>
            <w:tcBorders>
              <w:bottom w:val="single" w:sz="12" w:space="0" w:color="auto"/>
            </w:tcBorders>
            <w:vAlign w:val="center"/>
          </w:tcPr>
          <w:p w:rsidR="00A57BFD" w:rsidRDefault="005B0D19">
            <w:pPr>
              <w:spacing w:before="20" w:after="20"/>
              <w:jc w:val="right"/>
              <w:rPr>
                <w:noProof/>
                <w:sz w:val="16"/>
                <w:szCs w:val="16"/>
              </w:rPr>
            </w:pPr>
            <w:r>
              <w:rPr>
                <w:noProof/>
                <w:color w:val="000000"/>
                <w:sz w:val="16"/>
              </w:rPr>
              <w:t>7.889,124</w:t>
            </w:r>
          </w:p>
        </w:tc>
        <w:tc>
          <w:tcPr>
            <w:tcW w:w="974" w:type="dxa"/>
            <w:tcBorders>
              <w:bottom w:val="single" w:sz="12" w:space="0" w:color="auto"/>
            </w:tcBorders>
            <w:vAlign w:val="center"/>
          </w:tcPr>
          <w:p w:rsidR="00A57BFD" w:rsidRDefault="005B0D19">
            <w:pPr>
              <w:spacing w:before="20" w:after="20"/>
              <w:jc w:val="right"/>
              <w:rPr>
                <w:noProof/>
                <w:sz w:val="16"/>
                <w:szCs w:val="16"/>
              </w:rPr>
            </w:pPr>
            <w:r>
              <w:rPr>
                <w:noProof/>
                <w:color w:val="000000"/>
                <w:sz w:val="16"/>
              </w:rPr>
              <w:t>9.384,561</w:t>
            </w:r>
          </w:p>
        </w:tc>
        <w:tc>
          <w:tcPr>
            <w:tcW w:w="975" w:type="dxa"/>
            <w:tcBorders>
              <w:bottom w:val="single" w:sz="12" w:space="0" w:color="auto"/>
            </w:tcBorders>
            <w:vAlign w:val="center"/>
          </w:tcPr>
          <w:p w:rsidR="00A57BFD" w:rsidRDefault="005B0D19">
            <w:pPr>
              <w:spacing w:before="20" w:after="20"/>
              <w:jc w:val="right"/>
              <w:rPr>
                <w:noProof/>
                <w:sz w:val="16"/>
                <w:szCs w:val="16"/>
              </w:rPr>
            </w:pPr>
            <w:r>
              <w:rPr>
                <w:noProof/>
                <w:color w:val="000000"/>
                <w:sz w:val="16"/>
              </w:rPr>
              <w:t>10.359,847</w:t>
            </w:r>
          </w:p>
        </w:tc>
        <w:tc>
          <w:tcPr>
            <w:tcW w:w="974" w:type="dxa"/>
            <w:tcBorders>
              <w:bottom w:val="single" w:sz="12" w:space="0" w:color="auto"/>
            </w:tcBorders>
            <w:vAlign w:val="center"/>
          </w:tcPr>
          <w:p w:rsidR="00A57BFD" w:rsidRDefault="005B0D19">
            <w:pPr>
              <w:spacing w:before="20" w:after="20"/>
              <w:jc w:val="right"/>
              <w:rPr>
                <w:b/>
                <w:noProof/>
                <w:sz w:val="16"/>
                <w:szCs w:val="16"/>
              </w:rPr>
            </w:pPr>
            <w:r>
              <w:rPr>
                <w:noProof/>
                <w:color w:val="000000"/>
                <w:sz w:val="16"/>
              </w:rPr>
              <w:t>11.053,383</w:t>
            </w:r>
          </w:p>
        </w:tc>
        <w:tc>
          <w:tcPr>
            <w:tcW w:w="975" w:type="dxa"/>
            <w:tcBorders>
              <w:bottom w:val="single" w:sz="12" w:space="0" w:color="auto"/>
            </w:tcBorders>
            <w:shd w:val="clear" w:color="auto" w:fill="auto"/>
            <w:vAlign w:val="center"/>
          </w:tcPr>
          <w:p w:rsidR="00A57BFD" w:rsidRDefault="005B0D19">
            <w:pPr>
              <w:spacing w:before="20" w:after="20"/>
              <w:jc w:val="right"/>
              <w:rPr>
                <w:b/>
                <w:noProof/>
                <w:sz w:val="16"/>
                <w:szCs w:val="16"/>
              </w:rPr>
            </w:pPr>
            <w:r>
              <w:rPr>
                <w:noProof/>
                <w:color w:val="000000"/>
                <w:sz w:val="16"/>
              </w:rPr>
              <w:t>29.235,450</w:t>
            </w:r>
          </w:p>
        </w:tc>
        <w:tc>
          <w:tcPr>
            <w:tcW w:w="1054" w:type="dxa"/>
            <w:tcBorders>
              <w:bottom w:val="single" w:sz="12" w:space="0" w:color="auto"/>
              <w:right w:val="single" w:sz="12" w:space="0" w:color="auto"/>
            </w:tcBorders>
            <w:vAlign w:val="center"/>
          </w:tcPr>
          <w:p w:rsidR="00A57BFD" w:rsidRDefault="005B0D19">
            <w:pPr>
              <w:spacing w:before="20" w:after="20"/>
              <w:jc w:val="right"/>
              <w:rPr>
                <w:b/>
                <w:noProof/>
                <w:sz w:val="16"/>
                <w:szCs w:val="16"/>
              </w:rPr>
            </w:pPr>
            <w:r>
              <w:rPr>
                <w:b/>
                <w:noProof/>
                <w:color w:val="000000"/>
                <w:sz w:val="16"/>
              </w:rPr>
              <w:t>78.810,955</w:t>
            </w:r>
          </w:p>
        </w:tc>
      </w:tr>
      <w:tr w:rsidR="00A57BFD">
        <w:trPr>
          <w:jc w:val="center"/>
        </w:trPr>
        <w:tc>
          <w:tcPr>
            <w:tcW w:w="3495" w:type="dxa"/>
            <w:vMerge w:val="restart"/>
            <w:tcBorders>
              <w:top w:val="single" w:sz="12" w:space="0" w:color="auto"/>
              <w:left w:val="single" w:sz="12" w:space="0" w:color="auto"/>
            </w:tcBorders>
            <w:vAlign w:val="center"/>
          </w:tcPr>
          <w:p w:rsidR="00A57BFD" w:rsidRDefault="005B0D19">
            <w:pPr>
              <w:jc w:val="left"/>
              <w:rPr>
                <w:b/>
                <w:noProof/>
              </w:rPr>
            </w:pPr>
            <w:r>
              <w:rPr>
                <w:b/>
                <w:noProof/>
                <w:sz w:val="22"/>
              </w:rPr>
              <w:t>ΣΥΝΟΛΟ πιστώσεων για την ΚΓΠ</w:t>
            </w:r>
          </w:p>
        </w:tc>
        <w:tc>
          <w:tcPr>
            <w:tcW w:w="1417" w:type="dxa"/>
            <w:tcBorders>
              <w:top w:val="single" w:sz="12" w:space="0" w:color="auto"/>
            </w:tcBorders>
            <w:vAlign w:val="center"/>
          </w:tcPr>
          <w:p w:rsidR="00A57BFD" w:rsidRDefault="005B0D19">
            <w:pPr>
              <w:jc w:val="left"/>
              <w:rPr>
                <w:noProof/>
                <w:sz w:val="18"/>
              </w:rPr>
            </w:pPr>
            <w:r>
              <w:rPr>
                <w:noProof/>
                <w:sz w:val="18"/>
              </w:rPr>
              <w:t>Αναλήψεις υποχρεώσεων</w:t>
            </w:r>
          </w:p>
        </w:tc>
        <w:tc>
          <w:tcPr>
            <w:tcW w:w="709" w:type="dxa"/>
            <w:tcBorders>
              <w:top w:val="single" w:sz="12" w:space="0" w:color="auto"/>
            </w:tcBorders>
            <w:vAlign w:val="center"/>
          </w:tcPr>
          <w:p w:rsidR="00A57BFD" w:rsidRDefault="005B0D19">
            <w:pPr>
              <w:jc w:val="center"/>
              <w:rPr>
                <w:noProof/>
                <w:sz w:val="14"/>
              </w:rPr>
            </w:pPr>
            <w:r>
              <w:rPr>
                <w:noProof/>
                <w:sz w:val="14"/>
              </w:rPr>
              <w:t>=10+16</w:t>
            </w:r>
          </w:p>
        </w:tc>
        <w:tc>
          <w:tcPr>
            <w:tcW w:w="974" w:type="dxa"/>
            <w:tcBorders>
              <w:top w:val="single" w:sz="12" w:space="0" w:color="auto"/>
            </w:tcBorders>
            <w:vAlign w:val="center"/>
          </w:tcPr>
          <w:p w:rsidR="00A57BFD" w:rsidRDefault="005B0D19">
            <w:pPr>
              <w:spacing w:before="20" w:after="20"/>
              <w:jc w:val="right"/>
              <w:rPr>
                <w:b/>
                <w:noProof/>
                <w:sz w:val="16"/>
              </w:rPr>
            </w:pPr>
            <w:r>
              <w:rPr>
                <w:b/>
                <w:noProof/>
                <w:color w:val="000000"/>
                <w:sz w:val="16"/>
              </w:rPr>
              <w:t>51.559,143</w:t>
            </w:r>
          </w:p>
        </w:tc>
        <w:tc>
          <w:tcPr>
            <w:tcW w:w="975" w:type="dxa"/>
            <w:tcBorders>
              <w:top w:val="single" w:sz="12" w:space="0" w:color="auto"/>
            </w:tcBorders>
            <w:vAlign w:val="center"/>
          </w:tcPr>
          <w:p w:rsidR="00A57BFD" w:rsidRDefault="005B0D19">
            <w:pPr>
              <w:spacing w:before="20" w:after="20"/>
              <w:jc w:val="right"/>
              <w:rPr>
                <w:b/>
                <w:noProof/>
                <w:sz w:val="16"/>
              </w:rPr>
            </w:pPr>
            <w:r>
              <w:rPr>
                <w:b/>
                <w:noProof/>
                <w:color w:val="000000"/>
                <w:sz w:val="16"/>
              </w:rPr>
              <w:t>51.786,051</w:t>
            </w:r>
          </w:p>
        </w:tc>
        <w:tc>
          <w:tcPr>
            <w:tcW w:w="974" w:type="dxa"/>
            <w:tcBorders>
              <w:top w:val="single" w:sz="12" w:space="0" w:color="auto"/>
            </w:tcBorders>
            <w:vAlign w:val="center"/>
          </w:tcPr>
          <w:p w:rsidR="00A57BFD" w:rsidRDefault="005B0D19">
            <w:pPr>
              <w:spacing w:before="20" w:after="20"/>
              <w:jc w:val="right"/>
              <w:rPr>
                <w:b/>
                <w:noProof/>
                <w:sz w:val="16"/>
              </w:rPr>
            </w:pPr>
            <w:r>
              <w:rPr>
                <w:b/>
                <w:noProof/>
                <w:color w:val="000000"/>
                <w:sz w:val="16"/>
              </w:rPr>
              <w:t>52.050,077</w:t>
            </w:r>
          </w:p>
        </w:tc>
        <w:tc>
          <w:tcPr>
            <w:tcW w:w="975" w:type="dxa"/>
            <w:tcBorders>
              <w:top w:val="single" w:sz="12" w:space="0" w:color="auto"/>
            </w:tcBorders>
            <w:vAlign w:val="center"/>
          </w:tcPr>
          <w:p w:rsidR="00A57BFD" w:rsidRDefault="005B0D19">
            <w:pPr>
              <w:spacing w:before="20" w:after="20"/>
              <w:jc w:val="right"/>
              <w:rPr>
                <w:b/>
                <w:noProof/>
                <w:sz w:val="16"/>
              </w:rPr>
            </w:pPr>
            <w:r>
              <w:rPr>
                <w:b/>
                <w:noProof/>
                <w:color w:val="000000"/>
                <w:sz w:val="16"/>
              </w:rPr>
              <w:t>52.190,207</w:t>
            </w:r>
          </w:p>
        </w:tc>
        <w:tc>
          <w:tcPr>
            <w:tcW w:w="974" w:type="dxa"/>
            <w:tcBorders>
              <w:top w:val="single" w:sz="12" w:space="0" w:color="auto"/>
            </w:tcBorders>
            <w:vAlign w:val="center"/>
          </w:tcPr>
          <w:p w:rsidR="00A57BFD" w:rsidRDefault="005B0D19">
            <w:pPr>
              <w:spacing w:before="20" w:after="20"/>
              <w:jc w:val="right"/>
              <w:rPr>
                <w:b/>
                <w:noProof/>
                <w:sz w:val="16"/>
              </w:rPr>
            </w:pPr>
            <w:r>
              <w:rPr>
                <w:b/>
                <w:noProof/>
                <w:color w:val="000000"/>
                <w:sz w:val="16"/>
              </w:rPr>
              <w:t>52.331,113</w:t>
            </w:r>
          </w:p>
        </w:tc>
        <w:tc>
          <w:tcPr>
            <w:tcW w:w="975" w:type="dxa"/>
            <w:tcBorders>
              <w:top w:val="single" w:sz="12" w:space="0" w:color="auto"/>
            </w:tcBorders>
            <w:vAlign w:val="center"/>
          </w:tcPr>
          <w:p w:rsidR="00A57BFD" w:rsidRDefault="005B0D19">
            <w:pPr>
              <w:spacing w:before="20" w:after="20"/>
              <w:jc w:val="right"/>
              <w:rPr>
                <w:b/>
                <w:noProof/>
                <w:sz w:val="16"/>
              </w:rPr>
            </w:pPr>
            <w:r>
              <w:rPr>
                <w:b/>
                <w:noProof/>
                <w:color w:val="000000"/>
                <w:sz w:val="16"/>
              </w:rPr>
              <w:t>52.472,998</w:t>
            </w:r>
          </w:p>
        </w:tc>
        <w:tc>
          <w:tcPr>
            <w:tcW w:w="974" w:type="dxa"/>
            <w:tcBorders>
              <w:top w:val="single" w:sz="12" w:space="0" w:color="auto"/>
            </w:tcBorders>
            <w:vAlign w:val="center"/>
          </w:tcPr>
          <w:p w:rsidR="00A57BFD" w:rsidRDefault="005B0D19">
            <w:pPr>
              <w:spacing w:before="20" w:after="20"/>
              <w:jc w:val="right"/>
              <w:rPr>
                <w:b/>
                <w:noProof/>
                <w:sz w:val="16"/>
              </w:rPr>
            </w:pPr>
            <w:r>
              <w:rPr>
                <w:b/>
                <w:noProof/>
                <w:color w:val="000000"/>
                <w:sz w:val="16"/>
              </w:rPr>
              <w:t>52.616,081</w:t>
            </w:r>
          </w:p>
        </w:tc>
        <w:tc>
          <w:tcPr>
            <w:tcW w:w="975" w:type="dxa"/>
            <w:tcBorders>
              <w:top w:val="single" w:sz="12" w:space="0" w:color="auto"/>
            </w:tcBorders>
            <w:shd w:val="clear" w:color="auto" w:fill="A6A6A6" w:themeFill="background1" w:themeFillShade="A6"/>
            <w:vAlign w:val="center"/>
          </w:tcPr>
          <w:p w:rsidR="00A57BFD" w:rsidRDefault="005B0D19">
            <w:pPr>
              <w:spacing w:before="20" w:after="20"/>
              <w:jc w:val="right"/>
              <w:rPr>
                <w:b/>
                <w:noProof/>
                <w:sz w:val="16"/>
              </w:rPr>
            </w:pPr>
            <w:r>
              <w:rPr>
                <w:b/>
                <w:noProof/>
                <w:color w:val="000000"/>
                <w:sz w:val="20"/>
              </w:rPr>
              <w:t> </w:t>
            </w:r>
          </w:p>
        </w:tc>
        <w:tc>
          <w:tcPr>
            <w:tcW w:w="1054" w:type="dxa"/>
            <w:tcBorders>
              <w:top w:val="single" w:sz="12" w:space="0" w:color="auto"/>
              <w:right w:val="single" w:sz="12" w:space="0" w:color="auto"/>
            </w:tcBorders>
            <w:vAlign w:val="center"/>
          </w:tcPr>
          <w:p w:rsidR="00A57BFD" w:rsidRDefault="005B0D19">
            <w:pPr>
              <w:spacing w:before="20" w:after="20"/>
              <w:jc w:val="right"/>
              <w:rPr>
                <w:b/>
                <w:noProof/>
                <w:sz w:val="16"/>
              </w:rPr>
            </w:pPr>
            <w:r>
              <w:rPr>
                <w:b/>
                <w:noProof/>
                <w:color w:val="000000"/>
                <w:sz w:val="16"/>
              </w:rPr>
              <w:t>365.005,670</w:t>
            </w:r>
          </w:p>
        </w:tc>
      </w:tr>
      <w:tr w:rsidR="00A57BFD">
        <w:trPr>
          <w:jc w:val="center"/>
        </w:trPr>
        <w:tc>
          <w:tcPr>
            <w:tcW w:w="3495" w:type="dxa"/>
            <w:vMerge/>
            <w:tcBorders>
              <w:left w:val="single" w:sz="12" w:space="0" w:color="auto"/>
              <w:bottom w:val="single" w:sz="12" w:space="0" w:color="auto"/>
            </w:tcBorders>
          </w:tcPr>
          <w:p w:rsidR="00A57BFD" w:rsidRDefault="00A57BFD">
            <w:pPr>
              <w:rPr>
                <w:noProof/>
                <w:sz w:val="20"/>
              </w:rPr>
            </w:pPr>
          </w:p>
        </w:tc>
        <w:tc>
          <w:tcPr>
            <w:tcW w:w="1417" w:type="dxa"/>
            <w:tcBorders>
              <w:bottom w:val="single" w:sz="12" w:space="0" w:color="auto"/>
            </w:tcBorders>
            <w:vAlign w:val="center"/>
          </w:tcPr>
          <w:p w:rsidR="00A57BFD" w:rsidRDefault="005B0D19">
            <w:pPr>
              <w:jc w:val="left"/>
              <w:rPr>
                <w:noProof/>
                <w:sz w:val="18"/>
              </w:rPr>
            </w:pPr>
            <w:r>
              <w:rPr>
                <w:noProof/>
                <w:sz w:val="18"/>
              </w:rPr>
              <w:t>Πληρωμές</w:t>
            </w:r>
          </w:p>
        </w:tc>
        <w:tc>
          <w:tcPr>
            <w:tcW w:w="709" w:type="dxa"/>
            <w:tcBorders>
              <w:bottom w:val="single" w:sz="12" w:space="0" w:color="auto"/>
            </w:tcBorders>
            <w:vAlign w:val="center"/>
          </w:tcPr>
          <w:p w:rsidR="00A57BFD" w:rsidRDefault="005B0D19">
            <w:pPr>
              <w:jc w:val="center"/>
              <w:rPr>
                <w:noProof/>
                <w:sz w:val="14"/>
              </w:rPr>
            </w:pPr>
            <w:r>
              <w:rPr>
                <w:noProof/>
                <w:sz w:val="14"/>
              </w:rPr>
              <w:t>=11+17</w:t>
            </w:r>
          </w:p>
        </w:tc>
        <w:tc>
          <w:tcPr>
            <w:tcW w:w="974" w:type="dxa"/>
            <w:tcBorders>
              <w:bottom w:val="single" w:sz="12" w:space="0" w:color="auto"/>
            </w:tcBorders>
            <w:vAlign w:val="center"/>
          </w:tcPr>
          <w:p w:rsidR="00A57BFD" w:rsidRDefault="005B0D19">
            <w:pPr>
              <w:spacing w:before="20" w:after="20"/>
              <w:jc w:val="right"/>
              <w:rPr>
                <w:b/>
                <w:noProof/>
                <w:sz w:val="16"/>
              </w:rPr>
            </w:pPr>
            <w:r>
              <w:rPr>
                <w:b/>
                <w:noProof/>
                <w:color w:val="000000"/>
                <w:sz w:val="16"/>
              </w:rPr>
              <w:t>41.081,548</w:t>
            </w:r>
          </w:p>
        </w:tc>
        <w:tc>
          <w:tcPr>
            <w:tcW w:w="975" w:type="dxa"/>
            <w:tcBorders>
              <w:bottom w:val="single" w:sz="12" w:space="0" w:color="auto"/>
            </w:tcBorders>
            <w:vAlign w:val="center"/>
          </w:tcPr>
          <w:p w:rsidR="00A57BFD" w:rsidRDefault="005B0D19">
            <w:pPr>
              <w:spacing w:before="20" w:after="20"/>
              <w:jc w:val="right"/>
              <w:rPr>
                <w:b/>
                <w:noProof/>
                <w:sz w:val="16"/>
              </w:rPr>
            </w:pPr>
            <w:r>
              <w:rPr>
                <w:b/>
                <w:noProof/>
                <w:color w:val="000000"/>
                <w:sz w:val="16"/>
              </w:rPr>
              <w:t>44.232,481</w:t>
            </w:r>
          </w:p>
        </w:tc>
        <w:tc>
          <w:tcPr>
            <w:tcW w:w="974" w:type="dxa"/>
            <w:tcBorders>
              <w:bottom w:val="single" w:sz="12" w:space="0" w:color="auto"/>
            </w:tcBorders>
            <w:vAlign w:val="center"/>
          </w:tcPr>
          <w:p w:rsidR="00A57BFD" w:rsidRDefault="005B0D19">
            <w:pPr>
              <w:spacing w:before="20" w:after="20"/>
              <w:jc w:val="right"/>
              <w:rPr>
                <w:b/>
                <w:noProof/>
                <w:sz w:val="16"/>
              </w:rPr>
            </w:pPr>
            <w:r>
              <w:rPr>
                <w:b/>
                <w:noProof/>
                <w:color w:val="000000"/>
                <w:sz w:val="16"/>
              </w:rPr>
              <w:t>47.119,327</w:t>
            </w:r>
          </w:p>
        </w:tc>
        <w:tc>
          <w:tcPr>
            <w:tcW w:w="975" w:type="dxa"/>
            <w:tcBorders>
              <w:bottom w:val="single" w:sz="12" w:space="0" w:color="auto"/>
            </w:tcBorders>
            <w:vAlign w:val="center"/>
          </w:tcPr>
          <w:p w:rsidR="00A57BFD" w:rsidRDefault="005B0D19">
            <w:pPr>
              <w:spacing w:before="20" w:after="20"/>
              <w:jc w:val="right"/>
              <w:rPr>
                <w:b/>
                <w:noProof/>
                <w:sz w:val="16"/>
              </w:rPr>
            </w:pPr>
            <w:r>
              <w:rPr>
                <w:b/>
                <w:noProof/>
                <w:color w:val="000000"/>
                <w:sz w:val="16"/>
              </w:rPr>
              <w:t>48.809,957</w:t>
            </w:r>
          </w:p>
        </w:tc>
        <w:tc>
          <w:tcPr>
            <w:tcW w:w="974" w:type="dxa"/>
            <w:tcBorders>
              <w:bottom w:val="single" w:sz="12" w:space="0" w:color="auto"/>
            </w:tcBorders>
            <w:vAlign w:val="center"/>
          </w:tcPr>
          <w:p w:rsidR="00A57BFD" w:rsidRDefault="005B0D19">
            <w:pPr>
              <w:spacing w:before="20" w:after="20"/>
              <w:jc w:val="right"/>
              <w:rPr>
                <w:b/>
                <w:noProof/>
                <w:sz w:val="16"/>
              </w:rPr>
            </w:pPr>
            <w:r>
              <w:rPr>
                <w:b/>
                <w:noProof/>
                <w:color w:val="000000"/>
                <w:sz w:val="16"/>
              </w:rPr>
              <w:t>50.448,427</w:t>
            </w:r>
          </w:p>
        </w:tc>
        <w:tc>
          <w:tcPr>
            <w:tcW w:w="975" w:type="dxa"/>
            <w:tcBorders>
              <w:bottom w:val="single" w:sz="12" w:space="0" w:color="auto"/>
            </w:tcBorders>
            <w:vAlign w:val="center"/>
          </w:tcPr>
          <w:p w:rsidR="00A57BFD" w:rsidRDefault="005B0D19">
            <w:pPr>
              <w:spacing w:before="20" w:after="20"/>
              <w:jc w:val="right"/>
              <w:rPr>
                <w:b/>
                <w:noProof/>
                <w:sz w:val="16"/>
              </w:rPr>
            </w:pPr>
            <w:r>
              <w:rPr>
                <w:b/>
                <w:noProof/>
                <w:color w:val="000000"/>
                <w:sz w:val="16"/>
              </w:rPr>
              <w:t>51.566,162</w:t>
            </w:r>
          </w:p>
        </w:tc>
        <w:tc>
          <w:tcPr>
            <w:tcW w:w="974" w:type="dxa"/>
            <w:tcBorders>
              <w:bottom w:val="single" w:sz="12" w:space="0" w:color="auto"/>
            </w:tcBorders>
            <w:vAlign w:val="center"/>
          </w:tcPr>
          <w:p w:rsidR="00A57BFD" w:rsidRDefault="005B0D19">
            <w:pPr>
              <w:spacing w:before="20" w:after="20"/>
              <w:jc w:val="right"/>
              <w:rPr>
                <w:b/>
                <w:noProof/>
                <w:sz w:val="16"/>
              </w:rPr>
            </w:pPr>
            <w:r>
              <w:rPr>
                <w:b/>
                <w:noProof/>
                <w:color w:val="000000"/>
                <w:sz w:val="16"/>
              </w:rPr>
              <w:t>52.402,761</w:t>
            </w:r>
          </w:p>
        </w:tc>
        <w:tc>
          <w:tcPr>
            <w:tcW w:w="975" w:type="dxa"/>
            <w:tcBorders>
              <w:bottom w:val="single" w:sz="12" w:space="0" w:color="auto"/>
            </w:tcBorders>
            <w:vAlign w:val="center"/>
          </w:tcPr>
          <w:p w:rsidR="00A57BFD" w:rsidRDefault="005B0D19">
            <w:pPr>
              <w:spacing w:before="20" w:after="20"/>
              <w:jc w:val="right"/>
              <w:rPr>
                <w:b/>
                <w:noProof/>
                <w:sz w:val="16"/>
              </w:rPr>
            </w:pPr>
            <w:r>
              <w:rPr>
                <w:b/>
                <w:noProof/>
                <w:color w:val="000000"/>
                <w:sz w:val="16"/>
              </w:rPr>
              <w:t>29.345,008</w:t>
            </w:r>
          </w:p>
        </w:tc>
        <w:tc>
          <w:tcPr>
            <w:tcW w:w="1054" w:type="dxa"/>
            <w:tcBorders>
              <w:bottom w:val="single" w:sz="12" w:space="0" w:color="auto"/>
              <w:right w:val="single" w:sz="12" w:space="0" w:color="auto"/>
            </w:tcBorders>
            <w:vAlign w:val="center"/>
          </w:tcPr>
          <w:p w:rsidR="00A57BFD" w:rsidRDefault="005B0D19">
            <w:pPr>
              <w:spacing w:before="20" w:after="20"/>
              <w:jc w:val="right"/>
              <w:rPr>
                <w:b/>
                <w:noProof/>
                <w:sz w:val="16"/>
              </w:rPr>
            </w:pPr>
            <w:r>
              <w:rPr>
                <w:b/>
                <w:noProof/>
                <w:color w:val="000000"/>
                <w:sz w:val="16"/>
              </w:rPr>
              <w:t>365.005,670</w:t>
            </w:r>
          </w:p>
        </w:tc>
      </w:tr>
    </w:tbl>
    <w:p w:rsidR="00A57BFD" w:rsidRDefault="005B0D19">
      <w:pPr>
        <w:rPr>
          <w:noProof/>
        </w:rPr>
      </w:pPr>
      <w:r>
        <w:rPr>
          <w:noProof/>
        </w:rPr>
        <w:t>Η διαφορά των συνολικών ποσών οφείλεται στη στρογγυλοποίηση.</w:t>
      </w: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44"/>
        <w:gridCol w:w="1080"/>
        <w:gridCol w:w="7817"/>
      </w:tblGrid>
      <w:tr w:rsidR="00A57BFD">
        <w:trPr>
          <w:jc w:val="center"/>
        </w:trPr>
        <w:tc>
          <w:tcPr>
            <w:tcW w:w="4744" w:type="dxa"/>
            <w:shd w:val="thinDiagStripe" w:color="C0C0C0" w:fill="auto"/>
            <w:vAlign w:val="center"/>
          </w:tcPr>
          <w:p w:rsidR="00A57BFD" w:rsidRDefault="005B0D19">
            <w:pPr>
              <w:spacing w:before="60" w:after="60"/>
              <w:jc w:val="center"/>
              <w:rPr>
                <w:b/>
                <w:noProof/>
              </w:rPr>
            </w:pPr>
            <w:r>
              <w:rPr>
                <w:noProof/>
              </w:rPr>
              <w:lastRenderedPageBreak/>
              <w:br w:type="page"/>
            </w:r>
            <w:r>
              <w:rPr>
                <w:b/>
                <w:noProof/>
              </w:rPr>
              <w:t>Τομέας του πολυετούς δημοσιονομικού</w:t>
            </w:r>
            <w:r>
              <w:rPr>
                <w:noProof/>
                <w:sz w:val="22"/>
              </w:rPr>
              <w:br/>
            </w:r>
            <w:r>
              <w:rPr>
                <w:b/>
                <w:noProof/>
                <w:sz w:val="22"/>
              </w:rPr>
              <w:t xml:space="preserve">πλαισίου </w:t>
            </w:r>
          </w:p>
        </w:tc>
        <w:tc>
          <w:tcPr>
            <w:tcW w:w="1080" w:type="dxa"/>
            <w:shd w:val="thinDiagStripe" w:color="C0C0C0" w:fill="auto"/>
            <w:vAlign w:val="center"/>
          </w:tcPr>
          <w:p w:rsidR="00A57BFD" w:rsidRDefault="005B0D19">
            <w:pPr>
              <w:spacing w:before="60" w:after="60"/>
              <w:jc w:val="center"/>
              <w:rPr>
                <w:noProof/>
              </w:rPr>
            </w:pPr>
            <w:r>
              <w:rPr>
                <w:noProof/>
              </w:rPr>
              <w:t>7</w:t>
            </w:r>
          </w:p>
        </w:tc>
        <w:tc>
          <w:tcPr>
            <w:tcW w:w="7817" w:type="dxa"/>
            <w:vAlign w:val="center"/>
          </w:tcPr>
          <w:p w:rsidR="00A57BFD" w:rsidRDefault="005B0D19">
            <w:pPr>
              <w:spacing w:before="60" w:after="60"/>
              <w:rPr>
                <w:noProof/>
              </w:rPr>
            </w:pPr>
            <w:r>
              <w:rPr>
                <w:noProof/>
                <w:sz w:val="22"/>
              </w:rPr>
              <w:t>«Διοικητικές δαπάνες»</w:t>
            </w:r>
          </w:p>
        </w:tc>
      </w:tr>
    </w:tbl>
    <w:p w:rsidR="00A57BFD" w:rsidRDefault="00A57BFD">
      <w:pPr>
        <w:jc w:val="right"/>
        <w:rPr>
          <w:noProof/>
          <w:sz w:val="20"/>
        </w:rPr>
      </w:pPr>
    </w:p>
    <w:p w:rsidR="00A57BFD" w:rsidRDefault="005B0D19">
      <w:pPr>
        <w:jc w:val="right"/>
        <w:rPr>
          <w:noProof/>
          <w:sz w:val="20"/>
        </w:rPr>
      </w:pPr>
      <w:r>
        <w:rPr>
          <w:noProof/>
          <w:sz w:val="20"/>
        </w:rPr>
        <w:t>σε εκατ. EUR (με τρία δεκαδικά ψηφία)</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99"/>
        <w:gridCol w:w="1436"/>
        <w:gridCol w:w="946"/>
        <w:gridCol w:w="947"/>
        <w:gridCol w:w="946"/>
        <w:gridCol w:w="947"/>
        <w:gridCol w:w="947"/>
        <w:gridCol w:w="946"/>
        <w:gridCol w:w="947"/>
        <w:gridCol w:w="947"/>
        <w:gridCol w:w="1291"/>
      </w:tblGrid>
      <w:tr w:rsidR="00A57BFD">
        <w:trPr>
          <w:jc w:val="center"/>
        </w:trPr>
        <w:tc>
          <w:tcPr>
            <w:tcW w:w="5635" w:type="dxa"/>
            <w:gridSpan w:val="2"/>
            <w:tcBorders>
              <w:top w:val="nil"/>
              <w:left w:val="nil"/>
            </w:tcBorders>
            <w:vAlign w:val="center"/>
          </w:tcPr>
          <w:p w:rsidR="00A57BFD" w:rsidRDefault="00A57BFD">
            <w:pPr>
              <w:jc w:val="center"/>
              <w:rPr>
                <w:noProof/>
                <w:sz w:val="20"/>
              </w:rPr>
            </w:pPr>
          </w:p>
        </w:tc>
        <w:tc>
          <w:tcPr>
            <w:tcW w:w="946" w:type="dxa"/>
            <w:vAlign w:val="center"/>
          </w:tcPr>
          <w:p w:rsidR="00A57BFD" w:rsidRDefault="005B0D19">
            <w:pPr>
              <w:jc w:val="center"/>
              <w:rPr>
                <w:b/>
                <w:noProof/>
                <w:sz w:val="20"/>
              </w:rPr>
            </w:pPr>
            <w:r>
              <w:rPr>
                <w:b/>
                <w:noProof/>
                <w:sz w:val="20"/>
              </w:rPr>
              <w:t>2021</w:t>
            </w:r>
          </w:p>
        </w:tc>
        <w:tc>
          <w:tcPr>
            <w:tcW w:w="947" w:type="dxa"/>
            <w:vAlign w:val="center"/>
          </w:tcPr>
          <w:p w:rsidR="00A57BFD" w:rsidRDefault="005B0D19">
            <w:pPr>
              <w:jc w:val="center"/>
              <w:rPr>
                <w:b/>
                <w:noProof/>
                <w:sz w:val="20"/>
              </w:rPr>
            </w:pPr>
            <w:r>
              <w:rPr>
                <w:b/>
                <w:noProof/>
                <w:sz w:val="20"/>
              </w:rPr>
              <w:t>2022</w:t>
            </w:r>
          </w:p>
        </w:tc>
        <w:tc>
          <w:tcPr>
            <w:tcW w:w="946" w:type="dxa"/>
            <w:vAlign w:val="center"/>
          </w:tcPr>
          <w:p w:rsidR="00A57BFD" w:rsidRDefault="005B0D19">
            <w:pPr>
              <w:jc w:val="center"/>
              <w:rPr>
                <w:b/>
                <w:noProof/>
                <w:sz w:val="20"/>
              </w:rPr>
            </w:pPr>
            <w:r>
              <w:rPr>
                <w:b/>
                <w:noProof/>
                <w:sz w:val="20"/>
              </w:rPr>
              <w:t>2023</w:t>
            </w:r>
          </w:p>
        </w:tc>
        <w:tc>
          <w:tcPr>
            <w:tcW w:w="947" w:type="dxa"/>
            <w:vAlign w:val="center"/>
          </w:tcPr>
          <w:p w:rsidR="00A57BFD" w:rsidRDefault="005B0D19">
            <w:pPr>
              <w:jc w:val="center"/>
              <w:rPr>
                <w:b/>
                <w:noProof/>
                <w:sz w:val="20"/>
              </w:rPr>
            </w:pPr>
            <w:r>
              <w:rPr>
                <w:b/>
                <w:noProof/>
                <w:sz w:val="20"/>
              </w:rPr>
              <w:t>2024</w:t>
            </w:r>
          </w:p>
        </w:tc>
        <w:tc>
          <w:tcPr>
            <w:tcW w:w="947" w:type="dxa"/>
            <w:vAlign w:val="center"/>
          </w:tcPr>
          <w:p w:rsidR="00A57BFD" w:rsidRDefault="005B0D19">
            <w:pPr>
              <w:jc w:val="center"/>
              <w:rPr>
                <w:b/>
                <w:noProof/>
                <w:sz w:val="18"/>
              </w:rPr>
            </w:pPr>
            <w:r>
              <w:rPr>
                <w:b/>
                <w:noProof/>
                <w:sz w:val="18"/>
              </w:rPr>
              <w:t>2025</w:t>
            </w:r>
          </w:p>
        </w:tc>
        <w:tc>
          <w:tcPr>
            <w:tcW w:w="946" w:type="dxa"/>
            <w:vAlign w:val="center"/>
          </w:tcPr>
          <w:p w:rsidR="00A57BFD" w:rsidRDefault="005B0D19">
            <w:pPr>
              <w:jc w:val="center"/>
              <w:rPr>
                <w:b/>
                <w:noProof/>
                <w:sz w:val="18"/>
              </w:rPr>
            </w:pPr>
            <w:r>
              <w:rPr>
                <w:b/>
                <w:noProof/>
                <w:sz w:val="18"/>
              </w:rPr>
              <w:t>2026</w:t>
            </w:r>
          </w:p>
        </w:tc>
        <w:tc>
          <w:tcPr>
            <w:tcW w:w="947" w:type="dxa"/>
            <w:vAlign w:val="center"/>
          </w:tcPr>
          <w:p w:rsidR="00A57BFD" w:rsidRDefault="005B0D19">
            <w:pPr>
              <w:jc w:val="center"/>
              <w:rPr>
                <w:b/>
                <w:noProof/>
                <w:sz w:val="18"/>
              </w:rPr>
            </w:pPr>
            <w:r>
              <w:rPr>
                <w:b/>
                <w:noProof/>
                <w:sz w:val="18"/>
              </w:rPr>
              <w:t>2027</w:t>
            </w:r>
          </w:p>
        </w:tc>
        <w:tc>
          <w:tcPr>
            <w:tcW w:w="947" w:type="dxa"/>
          </w:tcPr>
          <w:p w:rsidR="00A57BFD" w:rsidRDefault="005B0D19">
            <w:pPr>
              <w:jc w:val="center"/>
              <w:rPr>
                <w:b/>
                <w:noProof/>
                <w:sz w:val="20"/>
              </w:rPr>
            </w:pPr>
            <w:r>
              <w:rPr>
                <w:b/>
                <w:i/>
                <w:noProof/>
                <w:sz w:val="20"/>
              </w:rPr>
              <w:t>Μετά το 2027</w:t>
            </w:r>
          </w:p>
        </w:tc>
        <w:tc>
          <w:tcPr>
            <w:tcW w:w="1291" w:type="dxa"/>
            <w:vAlign w:val="center"/>
          </w:tcPr>
          <w:p w:rsidR="00A57BFD" w:rsidRDefault="005B0D19">
            <w:pPr>
              <w:jc w:val="center"/>
              <w:rPr>
                <w:b/>
                <w:noProof/>
                <w:sz w:val="20"/>
              </w:rPr>
            </w:pPr>
            <w:r>
              <w:rPr>
                <w:b/>
                <w:noProof/>
                <w:sz w:val="20"/>
              </w:rPr>
              <w:t>ΣΥΝΟΛΟ</w:t>
            </w:r>
          </w:p>
        </w:tc>
      </w:tr>
      <w:tr w:rsidR="00A57BFD">
        <w:trPr>
          <w:trHeight w:val="313"/>
          <w:jc w:val="center"/>
        </w:trPr>
        <w:tc>
          <w:tcPr>
            <w:tcW w:w="5635" w:type="dxa"/>
            <w:gridSpan w:val="2"/>
            <w:vAlign w:val="center"/>
          </w:tcPr>
          <w:p w:rsidR="00A57BFD" w:rsidRDefault="005B0D19">
            <w:pPr>
              <w:spacing w:before="20" w:after="20"/>
              <w:rPr>
                <w:noProof/>
              </w:rPr>
            </w:pPr>
            <w:r>
              <w:rPr>
                <w:noProof/>
                <w:sz w:val="22"/>
              </w:rPr>
              <w:t xml:space="preserve">Ανθρώπινοι πόροι </w:t>
            </w:r>
          </w:p>
        </w:tc>
        <w:tc>
          <w:tcPr>
            <w:tcW w:w="946" w:type="dxa"/>
            <w:vAlign w:val="center"/>
          </w:tcPr>
          <w:p w:rsidR="00A57BFD" w:rsidRDefault="005B0D19">
            <w:pPr>
              <w:spacing w:before="20" w:after="20"/>
              <w:jc w:val="right"/>
              <w:rPr>
                <w:noProof/>
                <w:sz w:val="16"/>
                <w:szCs w:val="16"/>
              </w:rPr>
            </w:pPr>
            <w:r>
              <w:rPr>
                <w:noProof/>
                <w:sz w:val="16"/>
              </w:rPr>
              <w:t>125,678</w:t>
            </w:r>
          </w:p>
        </w:tc>
        <w:tc>
          <w:tcPr>
            <w:tcW w:w="947" w:type="dxa"/>
            <w:vAlign w:val="center"/>
          </w:tcPr>
          <w:p w:rsidR="00A57BFD" w:rsidRDefault="005B0D19">
            <w:pPr>
              <w:spacing w:before="20" w:after="20"/>
              <w:jc w:val="right"/>
              <w:rPr>
                <w:noProof/>
                <w:sz w:val="16"/>
                <w:szCs w:val="16"/>
              </w:rPr>
            </w:pPr>
            <w:r>
              <w:rPr>
                <w:noProof/>
                <w:sz w:val="16"/>
              </w:rPr>
              <w:t>125,678</w:t>
            </w:r>
          </w:p>
        </w:tc>
        <w:tc>
          <w:tcPr>
            <w:tcW w:w="946" w:type="dxa"/>
            <w:vAlign w:val="center"/>
          </w:tcPr>
          <w:p w:rsidR="00A57BFD" w:rsidRDefault="005B0D19">
            <w:pPr>
              <w:spacing w:before="20" w:after="20"/>
              <w:jc w:val="right"/>
              <w:rPr>
                <w:noProof/>
                <w:sz w:val="16"/>
                <w:szCs w:val="16"/>
              </w:rPr>
            </w:pPr>
            <w:r>
              <w:rPr>
                <w:noProof/>
                <w:sz w:val="16"/>
              </w:rPr>
              <w:t>125,678</w:t>
            </w:r>
          </w:p>
        </w:tc>
        <w:tc>
          <w:tcPr>
            <w:tcW w:w="947" w:type="dxa"/>
            <w:vAlign w:val="center"/>
          </w:tcPr>
          <w:p w:rsidR="00A57BFD" w:rsidRDefault="005B0D19">
            <w:pPr>
              <w:spacing w:before="20" w:after="20"/>
              <w:jc w:val="right"/>
              <w:rPr>
                <w:noProof/>
                <w:sz w:val="16"/>
                <w:szCs w:val="16"/>
              </w:rPr>
            </w:pPr>
            <w:r>
              <w:rPr>
                <w:noProof/>
                <w:sz w:val="16"/>
              </w:rPr>
              <w:t>125,678</w:t>
            </w:r>
          </w:p>
        </w:tc>
        <w:tc>
          <w:tcPr>
            <w:tcW w:w="947" w:type="dxa"/>
            <w:vAlign w:val="center"/>
          </w:tcPr>
          <w:p w:rsidR="00A57BFD" w:rsidRDefault="005B0D19">
            <w:pPr>
              <w:spacing w:before="20" w:after="20"/>
              <w:jc w:val="right"/>
              <w:rPr>
                <w:noProof/>
                <w:sz w:val="16"/>
                <w:szCs w:val="16"/>
              </w:rPr>
            </w:pPr>
            <w:r>
              <w:rPr>
                <w:noProof/>
                <w:sz w:val="16"/>
              </w:rPr>
              <w:t>125,678</w:t>
            </w:r>
          </w:p>
        </w:tc>
        <w:tc>
          <w:tcPr>
            <w:tcW w:w="946" w:type="dxa"/>
            <w:vAlign w:val="center"/>
          </w:tcPr>
          <w:p w:rsidR="00A57BFD" w:rsidRDefault="005B0D19">
            <w:pPr>
              <w:spacing w:before="20" w:after="20"/>
              <w:jc w:val="right"/>
              <w:rPr>
                <w:noProof/>
                <w:sz w:val="16"/>
                <w:szCs w:val="16"/>
              </w:rPr>
            </w:pPr>
            <w:r>
              <w:rPr>
                <w:noProof/>
                <w:sz w:val="16"/>
              </w:rPr>
              <w:t>125,678</w:t>
            </w:r>
          </w:p>
        </w:tc>
        <w:tc>
          <w:tcPr>
            <w:tcW w:w="947" w:type="dxa"/>
            <w:vAlign w:val="center"/>
          </w:tcPr>
          <w:p w:rsidR="00A57BFD" w:rsidRDefault="005B0D19">
            <w:pPr>
              <w:spacing w:before="20" w:after="20"/>
              <w:jc w:val="right"/>
              <w:rPr>
                <w:b/>
                <w:noProof/>
                <w:sz w:val="16"/>
                <w:szCs w:val="16"/>
              </w:rPr>
            </w:pPr>
            <w:r>
              <w:rPr>
                <w:noProof/>
                <w:sz w:val="16"/>
              </w:rPr>
              <w:t>125,678</w:t>
            </w:r>
          </w:p>
        </w:tc>
        <w:tc>
          <w:tcPr>
            <w:tcW w:w="947" w:type="dxa"/>
            <w:shd w:val="clear" w:color="auto" w:fill="A6A6A6" w:themeFill="background1" w:themeFillShade="A6"/>
            <w:vAlign w:val="center"/>
          </w:tcPr>
          <w:p w:rsidR="00A57BFD" w:rsidRDefault="00A57BFD">
            <w:pPr>
              <w:spacing w:before="20" w:after="20"/>
              <w:jc w:val="right"/>
              <w:rPr>
                <w:b/>
                <w:noProof/>
                <w:sz w:val="20"/>
              </w:rPr>
            </w:pPr>
          </w:p>
        </w:tc>
        <w:tc>
          <w:tcPr>
            <w:tcW w:w="1291" w:type="dxa"/>
            <w:vAlign w:val="center"/>
          </w:tcPr>
          <w:p w:rsidR="00A57BFD" w:rsidRDefault="005B0D19">
            <w:pPr>
              <w:spacing w:before="20" w:after="20"/>
              <w:jc w:val="right"/>
              <w:rPr>
                <w:b/>
                <w:noProof/>
                <w:sz w:val="20"/>
              </w:rPr>
            </w:pPr>
            <w:r>
              <w:rPr>
                <w:b/>
                <w:noProof/>
                <w:sz w:val="20"/>
              </w:rPr>
              <w:t>879,746</w:t>
            </w:r>
          </w:p>
        </w:tc>
      </w:tr>
      <w:tr w:rsidR="00A57BFD">
        <w:trPr>
          <w:trHeight w:val="351"/>
          <w:jc w:val="center"/>
        </w:trPr>
        <w:tc>
          <w:tcPr>
            <w:tcW w:w="5635" w:type="dxa"/>
            <w:gridSpan w:val="2"/>
            <w:vAlign w:val="center"/>
          </w:tcPr>
          <w:p w:rsidR="00A57BFD" w:rsidRDefault="005B0D19">
            <w:pPr>
              <w:spacing w:before="20" w:after="20"/>
              <w:rPr>
                <w:noProof/>
              </w:rPr>
            </w:pPr>
            <w:r>
              <w:rPr>
                <w:noProof/>
                <w:sz w:val="22"/>
              </w:rPr>
              <w:t xml:space="preserve">Άλλες διοικητικές δαπάνες </w:t>
            </w:r>
          </w:p>
        </w:tc>
        <w:tc>
          <w:tcPr>
            <w:tcW w:w="946" w:type="dxa"/>
            <w:vAlign w:val="center"/>
          </w:tcPr>
          <w:p w:rsidR="00A57BFD" w:rsidRDefault="005B0D19">
            <w:pPr>
              <w:spacing w:before="20" w:after="20"/>
              <w:jc w:val="right"/>
              <w:rPr>
                <w:b/>
                <w:noProof/>
                <w:sz w:val="16"/>
                <w:szCs w:val="16"/>
              </w:rPr>
            </w:pPr>
            <w:r>
              <w:rPr>
                <w:noProof/>
                <w:sz w:val="16"/>
              </w:rPr>
              <w:t>6,008</w:t>
            </w:r>
          </w:p>
        </w:tc>
        <w:tc>
          <w:tcPr>
            <w:tcW w:w="947" w:type="dxa"/>
            <w:vAlign w:val="center"/>
          </w:tcPr>
          <w:p w:rsidR="00A57BFD" w:rsidRDefault="005B0D19">
            <w:pPr>
              <w:spacing w:before="20" w:after="20"/>
              <w:jc w:val="right"/>
              <w:rPr>
                <w:b/>
                <w:noProof/>
                <w:sz w:val="16"/>
                <w:szCs w:val="16"/>
              </w:rPr>
            </w:pPr>
            <w:r>
              <w:rPr>
                <w:noProof/>
                <w:sz w:val="16"/>
              </w:rPr>
              <w:t>6,008</w:t>
            </w:r>
          </w:p>
        </w:tc>
        <w:tc>
          <w:tcPr>
            <w:tcW w:w="946" w:type="dxa"/>
            <w:vAlign w:val="center"/>
          </w:tcPr>
          <w:p w:rsidR="00A57BFD" w:rsidRDefault="005B0D19">
            <w:pPr>
              <w:spacing w:before="20" w:after="20"/>
              <w:jc w:val="right"/>
              <w:rPr>
                <w:b/>
                <w:noProof/>
                <w:sz w:val="16"/>
                <w:szCs w:val="16"/>
              </w:rPr>
            </w:pPr>
            <w:r>
              <w:rPr>
                <w:noProof/>
                <w:sz w:val="16"/>
              </w:rPr>
              <w:t>6,008</w:t>
            </w:r>
          </w:p>
        </w:tc>
        <w:tc>
          <w:tcPr>
            <w:tcW w:w="947" w:type="dxa"/>
            <w:vAlign w:val="center"/>
          </w:tcPr>
          <w:p w:rsidR="00A57BFD" w:rsidRDefault="005B0D19">
            <w:pPr>
              <w:spacing w:before="20" w:after="20"/>
              <w:jc w:val="right"/>
              <w:rPr>
                <w:b/>
                <w:noProof/>
                <w:sz w:val="16"/>
                <w:szCs w:val="16"/>
              </w:rPr>
            </w:pPr>
            <w:r>
              <w:rPr>
                <w:noProof/>
                <w:sz w:val="16"/>
              </w:rPr>
              <w:t>6,008</w:t>
            </w:r>
          </w:p>
        </w:tc>
        <w:tc>
          <w:tcPr>
            <w:tcW w:w="947" w:type="dxa"/>
            <w:vAlign w:val="center"/>
          </w:tcPr>
          <w:p w:rsidR="00A57BFD" w:rsidRDefault="005B0D19">
            <w:pPr>
              <w:spacing w:before="20" w:after="20"/>
              <w:jc w:val="right"/>
              <w:rPr>
                <w:b/>
                <w:noProof/>
                <w:sz w:val="16"/>
                <w:szCs w:val="16"/>
              </w:rPr>
            </w:pPr>
            <w:r>
              <w:rPr>
                <w:noProof/>
                <w:sz w:val="16"/>
              </w:rPr>
              <w:t>6,008</w:t>
            </w:r>
          </w:p>
        </w:tc>
        <w:tc>
          <w:tcPr>
            <w:tcW w:w="946" w:type="dxa"/>
            <w:vAlign w:val="center"/>
          </w:tcPr>
          <w:p w:rsidR="00A57BFD" w:rsidRDefault="005B0D19">
            <w:pPr>
              <w:spacing w:before="20" w:after="20"/>
              <w:jc w:val="right"/>
              <w:rPr>
                <w:b/>
                <w:noProof/>
                <w:sz w:val="16"/>
                <w:szCs w:val="16"/>
              </w:rPr>
            </w:pPr>
            <w:r>
              <w:rPr>
                <w:noProof/>
                <w:sz w:val="16"/>
              </w:rPr>
              <w:t>6,008</w:t>
            </w:r>
          </w:p>
        </w:tc>
        <w:tc>
          <w:tcPr>
            <w:tcW w:w="947" w:type="dxa"/>
            <w:vAlign w:val="center"/>
          </w:tcPr>
          <w:p w:rsidR="00A57BFD" w:rsidRDefault="005B0D19">
            <w:pPr>
              <w:spacing w:before="20" w:after="20"/>
              <w:jc w:val="right"/>
              <w:rPr>
                <w:b/>
                <w:noProof/>
                <w:sz w:val="16"/>
                <w:szCs w:val="16"/>
              </w:rPr>
            </w:pPr>
            <w:r>
              <w:rPr>
                <w:noProof/>
                <w:sz w:val="16"/>
              </w:rPr>
              <w:t>6,008</w:t>
            </w:r>
          </w:p>
        </w:tc>
        <w:tc>
          <w:tcPr>
            <w:tcW w:w="947" w:type="dxa"/>
            <w:shd w:val="clear" w:color="auto" w:fill="A6A6A6" w:themeFill="background1" w:themeFillShade="A6"/>
            <w:vAlign w:val="center"/>
          </w:tcPr>
          <w:p w:rsidR="00A57BFD" w:rsidRDefault="00A57BFD">
            <w:pPr>
              <w:spacing w:before="20" w:after="20"/>
              <w:jc w:val="right"/>
              <w:rPr>
                <w:b/>
                <w:noProof/>
                <w:sz w:val="20"/>
              </w:rPr>
            </w:pPr>
          </w:p>
        </w:tc>
        <w:tc>
          <w:tcPr>
            <w:tcW w:w="1291" w:type="dxa"/>
            <w:vAlign w:val="center"/>
          </w:tcPr>
          <w:p w:rsidR="00A57BFD" w:rsidRDefault="005B0D19">
            <w:pPr>
              <w:spacing w:before="20" w:after="20"/>
              <w:jc w:val="right"/>
              <w:rPr>
                <w:b/>
                <w:noProof/>
                <w:sz w:val="20"/>
              </w:rPr>
            </w:pPr>
            <w:r>
              <w:rPr>
                <w:b/>
                <w:noProof/>
                <w:sz w:val="20"/>
              </w:rPr>
              <w:t>42,056</w:t>
            </w:r>
          </w:p>
        </w:tc>
      </w:tr>
      <w:tr w:rsidR="00A57BFD">
        <w:trPr>
          <w:trHeight w:val="351"/>
          <w:jc w:val="center"/>
        </w:trPr>
        <w:tc>
          <w:tcPr>
            <w:tcW w:w="4199" w:type="dxa"/>
            <w:vAlign w:val="center"/>
          </w:tcPr>
          <w:p w:rsidR="00A57BFD" w:rsidRDefault="005B0D19">
            <w:pPr>
              <w:spacing w:before="20" w:after="20"/>
              <w:jc w:val="left"/>
              <w:rPr>
                <w:b/>
                <w:noProof/>
              </w:rPr>
            </w:pPr>
            <w:r>
              <w:rPr>
                <w:b/>
                <w:noProof/>
                <w:sz w:val="22"/>
              </w:rPr>
              <w:t>ΣΥΝΟΛΟ πιστώσεων του ΤΟΜΕΑ 7 του πολυετούς δημοσιονομικού πλαισίου</w:t>
            </w:r>
          </w:p>
        </w:tc>
        <w:tc>
          <w:tcPr>
            <w:tcW w:w="1436" w:type="dxa"/>
          </w:tcPr>
          <w:p w:rsidR="00A57BFD" w:rsidRDefault="005B0D19">
            <w:pPr>
              <w:spacing w:before="20" w:after="20"/>
              <w:rPr>
                <w:noProof/>
              </w:rPr>
            </w:pPr>
            <w:r>
              <w:rPr>
                <w:noProof/>
                <w:sz w:val="18"/>
              </w:rPr>
              <w:t>Αναλήψεις υποχρεώσεων = Πληρωμές</w:t>
            </w:r>
          </w:p>
        </w:tc>
        <w:tc>
          <w:tcPr>
            <w:tcW w:w="946" w:type="dxa"/>
            <w:vAlign w:val="center"/>
          </w:tcPr>
          <w:p w:rsidR="00A57BFD" w:rsidRDefault="005B0D19">
            <w:pPr>
              <w:spacing w:before="20" w:after="20"/>
              <w:jc w:val="right"/>
              <w:rPr>
                <w:b/>
                <w:noProof/>
                <w:sz w:val="16"/>
                <w:szCs w:val="16"/>
              </w:rPr>
            </w:pPr>
            <w:r>
              <w:rPr>
                <w:b/>
                <w:noProof/>
                <w:sz w:val="16"/>
              </w:rPr>
              <w:t>131,686</w:t>
            </w:r>
          </w:p>
        </w:tc>
        <w:tc>
          <w:tcPr>
            <w:tcW w:w="947" w:type="dxa"/>
            <w:vAlign w:val="center"/>
          </w:tcPr>
          <w:p w:rsidR="00A57BFD" w:rsidRDefault="005B0D19">
            <w:pPr>
              <w:spacing w:before="20" w:after="20"/>
              <w:jc w:val="right"/>
              <w:rPr>
                <w:b/>
                <w:noProof/>
                <w:sz w:val="16"/>
                <w:szCs w:val="16"/>
              </w:rPr>
            </w:pPr>
            <w:r>
              <w:rPr>
                <w:b/>
                <w:noProof/>
                <w:sz w:val="16"/>
              </w:rPr>
              <w:t>131,686</w:t>
            </w:r>
          </w:p>
        </w:tc>
        <w:tc>
          <w:tcPr>
            <w:tcW w:w="946" w:type="dxa"/>
            <w:vAlign w:val="center"/>
          </w:tcPr>
          <w:p w:rsidR="00A57BFD" w:rsidRDefault="005B0D19">
            <w:pPr>
              <w:spacing w:before="20" w:after="20"/>
              <w:jc w:val="right"/>
              <w:rPr>
                <w:b/>
                <w:noProof/>
                <w:sz w:val="16"/>
                <w:szCs w:val="16"/>
              </w:rPr>
            </w:pPr>
            <w:r>
              <w:rPr>
                <w:b/>
                <w:noProof/>
                <w:sz w:val="16"/>
              </w:rPr>
              <w:t>131,686</w:t>
            </w:r>
          </w:p>
        </w:tc>
        <w:tc>
          <w:tcPr>
            <w:tcW w:w="947" w:type="dxa"/>
            <w:vAlign w:val="center"/>
          </w:tcPr>
          <w:p w:rsidR="00A57BFD" w:rsidRDefault="005B0D19">
            <w:pPr>
              <w:spacing w:before="20" w:after="20"/>
              <w:jc w:val="right"/>
              <w:rPr>
                <w:b/>
                <w:noProof/>
                <w:sz w:val="16"/>
                <w:szCs w:val="16"/>
              </w:rPr>
            </w:pPr>
            <w:r>
              <w:rPr>
                <w:b/>
                <w:noProof/>
                <w:sz w:val="16"/>
              </w:rPr>
              <w:t>131,686</w:t>
            </w:r>
          </w:p>
        </w:tc>
        <w:tc>
          <w:tcPr>
            <w:tcW w:w="947" w:type="dxa"/>
            <w:vAlign w:val="center"/>
          </w:tcPr>
          <w:p w:rsidR="00A57BFD" w:rsidRDefault="005B0D19">
            <w:pPr>
              <w:spacing w:before="20" w:after="20"/>
              <w:jc w:val="right"/>
              <w:rPr>
                <w:b/>
                <w:noProof/>
                <w:sz w:val="16"/>
                <w:szCs w:val="16"/>
              </w:rPr>
            </w:pPr>
            <w:r>
              <w:rPr>
                <w:b/>
                <w:noProof/>
                <w:sz w:val="16"/>
              </w:rPr>
              <w:t>131,686</w:t>
            </w:r>
          </w:p>
        </w:tc>
        <w:tc>
          <w:tcPr>
            <w:tcW w:w="946" w:type="dxa"/>
            <w:vAlign w:val="center"/>
          </w:tcPr>
          <w:p w:rsidR="00A57BFD" w:rsidRDefault="005B0D19">
            <w:pPr>
              <w:spacing w:before="20" w:after="20"/>
              <w:jc w:val="right"/>
              <w:rPr>
                <w:b/>
                <w:noProof/>
                <w:sz w:val="16"/>
                <w:szCs w:val="16"/>
              </w:rPr>
            </w:pPr>
            <w:r>
              <w:rPr>
                <w:b/>
                <w:noProof/>
                <w:sz w:val="16"/>
              </w:rPr>
              <w:t>131,686</w:t>
            </w:r>
          </w:p>
        </w:tc>
        <w:tc>
          <w:tcPr>
            <w:tcW w:w="947" w:type="dxa"/>
            <w:vAlign w:val="center"/>
          </w:tcPr>
          <w:p w:rsidR="00A57BFD" w:rsidRDefault="005B0D19">
            <w:pPr>
              <w:spacing w:before="20" w:after="20"/>
              <w:jc w:val="right"/>
              <w:rPr>
                <w:b/>
                <w:noProof/>
                <w:sz w:val="16"/>
                <w:szCs w:val="16"/>
              </w:rPr>
            </w:pPr>
            <w:r>
              <w:rPr>
                <w:b/>
                <w:noProof/>
                <w:sz w:val="16"/>
              </w:rPr>
              <w:t>131,686</w:t>
            </w:r>
          </w:p>
        </w:tc>
        <w:tc>
          <w:tcPr>
            <w:tcW w:w="947" w:type="dxa"/>
            <w:shd w:val="clear" w:color="auto" w:fill="A6A6A6" w:themeFill="background1" w:themeFillShade="A6"/>
            <w:vAlign w:val="center"/>
          </w:tcPr>
          <w:p w:rsidR="00A57BFD" w:rsidRDefault="00A57BFD">
            <w:pPr>
              <w:spacing w:before="20" w:after="20"/>
              <w:jc w:val="right"/>
              <w:rPr>
                <w:b/>
                <w:noProof/>
                <w:sz w:val="20"/>
              </w:rPr>
            </w:pPr>
          </w:p>
        </w:tc>
        <w:tc>
          <w:tcPr>
            <w:tcW w:w="1291" w:type="dxa"/>
            <w:vAlign w:val="center"/>
          </w:tcPr>
          <w:p w:rsidR="00A57BFD" w:rsidRDefault="005B0D19">
            <w:pPr>
              <w:spacing w:before="20" w:after="20"/>
              <w:jc w:val="right"/>
              <w:rPr>
                <w:b/>
                <w:noProof/>
                <w:sz w:val="20"/>
              </w:rPr>
            </w:pPr>
            <w:r>
              <w:rPr>
                <w:b/>
                <w:noProof/>
                <w:sz w:val="20"/>
              </w:rPr>
              <w:t>921,802</w:t>
            </w:r>
          </w:p>
        </w:tc>
      </w:tr>
    </w:tbl>
    <w:p w:rsidR="00A57BFD" w:rsidRDefault="00A57BFD">
      <w:pPr>
        <w:jc w:val="right"/>
        <w:rPr>
          <w:noProof/>
          <w:sz w:val="20"/>
        </w:rPr>
      </w:pPr>
    </w:p>
    <w:p w:rsidR="00A57BFD" w:rsidRDefault="005B0D19">
      <w:pPr>
        <w:jc w:val="right"/>
        <w:rPr>
          <w:noProof/>
          <w:sz w:val="20"/>
        </w:rPr>
      </w:pPr>
      <w:r>
        <w:rPr>
          <w:noProof/>
          <w:sz w:val="20"/>
        </w:rPr>
        <w:t>σε εκατ. EUR (με τρία δεκαδικά ψηφία)</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73"/>
        <w:gridCol w:w="1468"/>
        <w:gridCol w:w="947"/>
        <w:gridCol w:w="947"/>
        <w:gridCol w:w="948"/>
        <w:gridCol w:w="947"/>
        <w:gridCol w:w="947"/>
        <w:gridCol w:w="948"/>
        <w:gridCol w:w="947"/>
        <w:gridCol w:w="948"/>
        <w:gridCol w:w="1292"/>
      </w:tblGrid>
      <w:tr w:rsidR="00A57BFD">
        <w:trPr>
          <w:jc w:val="center"/>
        </w:trPr>
        <w:tc>
          <w:tcPr>
            <w:tcW w:w="4173" w:type="dxa"/>
            <w:tcBorders>
              <w:top w:val="nil"/>
              <w:left w:val="nil"/>
              <w:right w:val="nil"/>
            </w:tcBorders>
            <w:vAlign w:val="center"/>
          </w:tcPr>
          <w:p w:rsidR="00A57BFD" w:rsidRDefault="00A57BFD">
            <w:pPr>
              <w:jc w:val="center"/>
              <w:rPr>
                <w:noProof/>
              </w:rPr>
            </w:pPr>
          </w:p>
        </w:tc>
        <w:tc>
          <w:tcPr>
            <w:tcW w:w="1468" w:type="dxa"/>
            <w:tcBorders>
              <w:top w:val="nil"/>
              <w:left w:val="nil"/>
            </w:tcBorders>
          </w:tcPr>
          <w:p w:rsidR="00A57BFD" w:rsidRDefault="00A57BFD">
            <w:pPr>
              <w:jc w:val="center"/>
              <w:rPr>
                <w:noProof/>
                <w:sz w:val="20"/>
              </w:rPr>
            </w:pPr>
          </w:p>
        </w:tc>
        <w:tc>
          <w:tcPr>
            <w:tcW w:w="947" w:type="dxa"/>
            <w:vAlign w:val="center"/>
          </w:tcPr>
          <w:p w:rsidR="00A57BFD" w:rsidRDefault="005B0D19">
            <w:pPr>
              <w:jc w:val="center"/>
              <w:rPr>
                <w:noProof/>
                <w:sz w:val="20"/>
              </w:rPr>
            </w:pPr>
            <w:r>
              <w:rPr>
                <w:b/>
                <w:noProof/>
                <w:sz w:val="20"/>
              </w:rPr>
              <w:t>2021</w:t>
            </w:r>
          </w:p>
        </w:tc>
        <w:tc>
          <w:tcPr>
            <w:tcW w:w="947" w:type="dxa"/>
            <w:vAlign w:val="center"/>
          </w:tcPr>
          <w:p w:rsidR="00A57BFD" w:rsidRDefault="005B0D19">
            <w:pPr>
              <w:jc w:val="center"/>
              <w:rPr>
                <w:noProof/>
                <w:sz w:val="20"/>
              </w:rPr>
            </w:pPr>
            <w:r>
              <w:rPr>
                <w:b/>
                <w:noProof/>
                <w:sz w:val="20"/>
              </w:rPr>
              <w:t>2022</w:t>
            </w:r>
          </w:p>
        </w:tc>
        <w:tc>
          <w:tcPr>
            <w:tcW w:w="948" w:type="dxa"/>
            <w:vAlign w:val="center"/>
          </w:tcPr>
          <w:p w:rsidR="00A57BFD" w:rsidRDefault="005B0D19">
            <w:pPr>
              <w:jc w:val="center"/>
              <w:rPr>
                <w:noProof/>
                <w:sz w:val="20"/>
              </w:rPr>
            </w:pPr>
            <w:r>
              <w:rPr>
                <w:b/>
                <w:noProof/>
                <w:sz w:val="20"/>
              </w:rPr>
              <w:t>2023</w:t>
            </w:r>
          </w:p>
        </w:tc>
        <w:tc>
          <w:tcPr>
            <w:tcW w:w="947" w:type="dxa"/>
            <w:vAlign w:val="center"/>
          </w:tcPr>
          <w:p w:rsidR="00A57BFD" w:rsidRDefault="005B0D19">
            <w:pPr>
              <w:jc w:val="center"/>
              <w:rPr>
                <w:noProof/>
                <w:sz w:val="20"/>
              </w:rPr>
            </w:pPr>
            <w:r>
              <w:rPr>
                <w:b/>
                <w:noProof/>
                <w:sz w:val="20"/>
              </w:rPr>
              <w:t>2024</w:t>
            </w:r>
          </w:p>
        </w:tc>
        <w:tc>
          <w:tcPr>
            <w:tcW w:w="947" w:type="dxa"/>
            <w:vAlign w:val="center"/>
          </w:tcPr>
          <w:p w:rsidR="00A57BFD" w:rsidRDefault="005B0D19">
            <w:pPr>
              <w:jc w:val="center"/>
              <w:rPr>
                <w:b/>
                <w:noProof/>
                <w:sz w:val="18"/>
              </w:rPr>
            </w:pPr>
            <w:r>
              <w:rPr>
                <w:b/>
                <w:noProof/>
                <w:sz w:val="18"/>
              </w:rPr>
              <w:t>2025</w:t>
            </w:r>
          </w:p>
        </w:tc>
        <w:tc>
          <w:tcPr>
            <w:tcW w:w="948" w:type="dxa"/>
            <w:vAlign w:val="center"/>
          </w:tcPr>
          <w:p w:rsidR="00A57BFD" w:rsidRDefault="005B0D19">
            <w:pPr>
              <w:jc w:val="center"/>
              <w:rPr>
                <w:b/>
                <w:noProof/>
                <w:sz w:val="18"/>
              </w:rPr>
            </w:pPr>
            <w:r>
              <w:rPr>
                <w:b/>
                <w:noProof/>
                <w:sz w:val="18"/>
              </w:rPr>
              <w:t>2026</w:t>
            </w:r>
          </w:p>
        </w:tc>
        <w:tc>
          <w:tcPr>
            <w:tcW w:w="947" w:type="dxa"/>
            <w:vAlign w:val="center"/>
          </w:tcPr>
          <w:p w:rsidR="00A57BFD" w:rsidRDefault="005B0D19">
            <w:pPr>
              <w:jc w:val="center"/>
              <w:rPr>
                <w:b/>
                <w:noProof/>
                <w:sz w:val="18"/>
              </w:rPr>
            </w:pPr>
            <w:r>
              <w:rPr>
                <w:b/>
                <w:noProof/>
                <w:sz w:val="18"/>
              </w:rPr>
              <w:t>2027</w:t>
            </w:r>
          </w:p>
        </w:tc>
        <w:tc>
          <w:tcPr>
            <w:tcW w:w="948" w:type="dxa"/>
          </w:tcPr>
          <w:p w:rsidR="00A57BFD" w:rsidRDefault="005B0D19">
            <w:pPr>
              <w:jc w:val="center"/>
              <w:rPr>
                <w:b/>
                <w:noProof/>
                <w:sz w:val="20"/>
              </w:rPr>
            </w:pPr>
            <w:r>
              <w:rPr>
                <w:b/>
                <w:i/>
                <w:noProof/>
                <w:sz w:val="20"/>
              </w:rPr>
              <w:t>Μετά το 2027</w:t>
            </w:r>
          </w:p>
        </w:tc>
        <w:tc>
          <w:tcPr>
            <w:tcW w:w="1292" w:type="dxa"/>
            <w:vAlign w:val="center"/>
          </w:tcPr>
          <w:p w:rsidR="00A57BFD" w:rsidRDefault="005B0D19">
            <w:pPr>
              <w:jc w:val="center"/>
              <w:rPr>
                <w:b/>
                <w:noProof/>
                <w:sz w:val="20"/>
              </w:rPr>
            </w:pPr>
            <w:r>
              <w:rPr>
                <w:b/>
                <w:noProof/>
                <w:sz w:val="20"/>
              </w:rPr>
              <w:t>ΣΥΝΟΛΟ</w:t>
            </w:r>
          </w:p>
        </w:tc>
      </w:tr>
      <w:tr w:rsidR="00A57BFD">
        <w:trPr>
          <w:jc w:val="center"/>
        </w:trPr>
        <w:tc>
          <w:tcPr>
            <w:tcW w:w="4173" w:type="dxa"/>
            <w:vMerge w:val="restart"/>
            <w:shd w:val="clear" w:color="auto" w:fill="C0C0C0"/>
            <w:vAlign w:val="center"/>
          </w:tcPr>
          <w:p w:rsidR="00A57BFD" w:rsidRDefault="005B0D19">
            <w:pPr>
              <w:jc w:val="center"/>
              <w:rPr>
                <w:b/>
                <w:noProof/>
              </w:rPr>
            </w:pPr>
            <w:r>
              <w:rPr>
                <w:b/>
                <w:noProof/>
                <w:sz w:val="22"/>
              </w:rPr>
              <w:t>ΣΥΝΟΛΟ πιστώσεων</w:t>
            </w:r>
            <w:r>
              <w:rPr>
                <w:noProof/>
                <w:sz w:val="22"/>
              </w:rPr>
              <w:br/>
            </w:r>
            <w:r>
              <w:rPr>
                <w:b/>
                <w:noProof/>
                <w:sz w:val="22"/>
              </w:rPr>
              <w:t xml:space="preserve">μεταξύ ΤΟΜΕΩΝ </w:t>
            </w:r>
            <w:r>
              <w:rPr>
                <w:noProof/>
                <w:sz w:val="22"/>
              </w:rPr>
              <w:br/>
              <w:t>του πολυετούς δημοσιονομικού πλαισίου</w:t>
            </w:r>
            <w:r>
              <w:rPr>
                <w:b/>
                <w:noProof/>
                <w:sz w:val="22"/>
              </w:rPr>
              <w:t xml:space="preserve"> </w:t>
            </w:r>
          </w:p>
        </w:tc>
        <w:tc>
          <w:tcPr>
            <w:tcW w:w="1468" w:type="dxa"/>
            <w:vAlign w:val="center"/>
          </w:tcPr>
          <w:p w:rsidR="00A57BFD" w:rsidRDefault="005B0D19">
            <w:pPr>
              <w:rPr>
                <w:noProof/>
                <w:sz w:val="14"/>
              </w:rPr>
            </w:pPr>
            <w:r>
              <w:rPr>
                <w:noProof/>
                <w:sz w:val="18"/>
              </w:rPr>
              <w:t>Αναλήψεις υποχρεώσεων</w:t>
            </w:r>
          </w:p>
        </w:tc>
        <w:tc>
          <w:tcPr>
            <w:tcW w:w="947" w:type="dxa"/>
            <w:vAlign w:val="center"/>
          </w:tcPr>
          <w:p w:rsidR="00A57BFD" w:rsidRDefault="005B0D19">
            <w:pPr>
              <w:spacing w:before="60" w:after="60"/>
              <w:jc w:val="right"/>
              <w:rPr>
                <w:b/>
                <w:bCs/>
                <w:noProof/>
                <w:color w:val="000000"/>
                <w:sz w:val="16"/>
                <w:szCs w:val="20"/>
              </w:rPr>
            </w:pPr>
            <w:r>
              <w:rPr>
                <w:b/>
                <w:noProof/>
                <w:color w:val="000000"/>
                <w:sz w:val="16"/>
              </w:rPr>
              <w:t xml:space="preserve">51.690,829 </w:t>
            </w:r>
          </w:p>
        </w:tc>
        <w:tc>
          <w:tcPr>
            <w:tcW w:w="947" w:type="dxa"/>
            <w:vAlign w:val="center"/>
          </w:tcPr>
          <w:p w:rsidR="00A57BFD" w:rsidRDefault="005B0D19">
            <w:pPr>
              <w:spacing w:before="60" w:after="60"/>
              <w:jc w:val="right"/>
              <w:rPr>
                <w:b/>
                <w:bCs/>
                <w:noProof/>
                <w:color w:val="000000"/>
                <w:sz w:val="16"/>
                <w:szCs w:val="20"/>
              </w:rPr>
            </w:pPr>
            <w:r>
              <w:rPr>
                <w:b/>
                <w:noProof/>
                <w:color w:val="000000"/>
                <w:sz w:val="16"/>
              </w:rPr>
              <w:t xml:space="preserve">51.917,737 </w:t>
            </w:r>
          </w:p>
        </w:tc>
        <w:tc>
          <w:tcPr>
            <w:tcW w:w="948" w:type="dxa"/>
            <w:vAlign w:val="center"/>
          </w:tcPr>
          <w:p w:rsidR="00A57BFD" w:rsidRDefault="005B0D19">
            <w:pPr>
              <w:spacing w:before="60" w:after="60"/>
              <w:jc w:val="right"/>
              <w:rPr>
                <w:b/>
                <w:bCs/>
                <w:noProof/>
                <w:color w:val="000000"/>
                <w:sz w:val="16"/>
                <w:szCs w:val="20"/>
              </w:rPr>
            </w:pPr>
            <w:r>
              <w:rPr>
                <w:b/>
                <w:noProof/>
                <w:color w:val="000000"/>
                <w:sz w:val="16"/>
              </w:rPr>
              <w:t xml:space="preserve">52.181,763 </w:t>
            </w:r>
          </w:p>
        </w:tc>
        <w:tc>
          <w:tcPr>
            <w:tcW w:w="947" w:type="dxa"/>
            <w:vAlign w:val="center"/>
          </w:tcPr>
          <w:p w:rsidR="00A57BFD" w:rsidRDefault="005B0D19">
            <w:pPr>
              <w:spacing w:before="60" w:after="60"/>
              <w:jc w:val="right"/>
              <w:rPr>
                <w:b/>
                <w:bCs/>
                <w:noProof/>
                <w:color w:val="000000"/>
                <w:sz w:val="16"/>
                <w:szCs w:val="20"/>
              </w:rPr>
            </w:pPr>
            <w:r>
              <w:rPr>
                <w:b/>
                <w:noProof/>
                <w:color w:val="000000"/>
                <w:sz w:val="16"/>
              </w:rPr>
              <w:t xml:space="preserve">52.321,893 </w:t>
            </w:r>
          </w:p>
        </w:tc>
        <w:tc>
          <w:tcPr>
            <w:tcW w:w="947" w:type="dxa"/>
            <w:vAlign w:val="center"/>
          </w:tcPr>
          <w:p w:rsidR="00A57BFD" w:rsidRDefault="005B0D19">
            <w:pPr>
              <w:spacing w:before="60" w:after="60"/>
              <w:jc w:val="right"/>
              <w:rPr>
                <w:b/>
                <w:bCs/>
                <w:noProof/>
                <w:color w:val="000000"/>
                <w:sz w:val="16"/>
                <w:szCs w:val="20"/>
              </w:rPr>
            </w:pPr>
            <w:r>
              <w:rPr>
                <w:b/>
                <w:noProof/>
                <w:color w:val="000000"/>
                <w:sz w:val="16"/>
              </w:rPr>
              <w:t xml:space="preserve">52.462,799 </w:t>
            </w:r>
          </w:p>
        </w:tc>
        <w:tc>
          <w:tcPr>
            <w:tcW w:w="948" w:type="dxa"/>
            <w:vAlign w:val="center"/>
          </w:tcPr>
          <w:p w:rsidR="00A57BFD" w:rsidRDefault="005B0D19">
            <w:pPr>
              <w:spacing w:before="60" w:after="60"/>
              <w:jc w:val="right"/>
              <w:rPr>
                <w:b/>
                <w:bCs/>
                <w:noProof/>
                <w:color w:val="000000"/>
                <w:sz w:val="16"/>
                <w:szCs w:val="20"/>
              </w:rPr>
            </w:pPr>
            <w:r>
              <w:rPr>
                <w:b/>
                <w:noProof/>
                <w:color w:val="000000"/>
                <w:sz w:val="16"/>
              </w:rPr>
              <w:t xml:space="preserve">52.604,684 </w:t>
            </w:r>
          </w:p>
        </w:tc>
        <w:tc>
          <w:tcPr>
            <w:tcW w:w="947" w:type="dxa"/>
            <w:vAlign w:val="center"/>
          </w:tcPr>
          <w:p w:rsidR="00A57BFD" w:rsidRDefault="005B0D19">
            <w:pPr>
              <w:spacing w:before="60" w:after="60"/>
              <w:jc w:val="right"/>
              <w:rPr>
                <w:b/>
                <w:bCs/>
                <w:noProof/>
                <w:color w:val="000000"/>
                <w:sz w:val="16"/>
                <w:szCs w:val="20"/>
              </w:rPr>
            </w:pPr>
            <w:r>
              <w:rPr>
                <w:b/>
                <w:noProof/>
                <w:color w:val="000000"/>
                <w:sz w:val="16"/>
              </w:rPr>
              <w:t xml:space="preserve">52.747,767 </w:t>
            </w:r>
          </w:p>
        </w:tc>
        <w:tc>
          <w:tcPr>
            <w:tcW w:w="948" w:type="dxa"/>
            <w:shd w:val="clear" w:color="auto" w:fill="A6A6A6" w:themeFill="background1" w:themeFillShade="A6"/>
            <w:vAlign w:val="center"/>
          </w:tcPr>
          <w:p w:rsidR="00A57BFD" w:rsidRDefault="005B0D19">
            <w:pPr>
              <w:spacing w:before="60" w:after="60"/>
              <w:jc w:val="right"/>
              <w:rPr>
                <w:b/>
                <w:bCs/>
                <w:noProof/>
                <w:color w:val="000000"/>
                <w:sz w:val="16"/>
                <w:szCs w:val="20"/>
              </w:rPr>
            </w:pPr>
            <w:r>
              <w:rPr>
                <w:b/>
                <w:noProof/>
                <w:color w:val="000000"/>
                <w:sz w:val="16"/>
              </w:rPr>
              <w:t> </w:t>
            </w:r>
          </w:p>
        </w:tc>
        <w:tc>
          <w:tcPr>
            <w:tcW w:w="1292" w:type="dxa"/>
            <w:vAlign w:val="center"/>
          </w:tcPr>
          <w:p w:rsidR="00A57BFD" w:rsidRDefault="005B0D19">
            <w:pPr>
              <w:spacing w:before="60" w:after="60"/>
              <w:jc w:val="right"/>
              <w:rPr>
                <w:b/>
                <w:noProof/>
                <w:sz w:val="20"/>
                <w:szCs w:val="20"/>
              </w:rPr>
            </w:pPr>
            <w:r>
              <w:rPr>
                <w:b/>
                <w:noProof/>
                <w:color w:val="000000"/>
                <w:sz w:val="20"/>
              </w:rPr>
              <w:t>365.927,472</w:t>
            </w:r>
          </w:p>
        </w:tc>
      </w:tr>
      <w:tr w:rsidR="00A57BFD">
        <w:trPr>
          <w:jc w:val="center"/>
        </w:trPr>
        <w:tc>
          <w:tcPr>
            <w:tcW w:w="4173" w:type="dxa"/>
            <w:vMerge/>
            <w:shd w:val="clear" w:color="auto" w:fill="C0C0C0"/>
          </w:tcPr>
          <w:p w:rsidR="00A57BFD" w:rsidRDefault="00A57BFD">
            <w:pPr>
              <w:rPr>
                <w:noProof/>
                <w:sz w:val="20"/>
              </w:rPr>
            </w:pPr>
          </w:p>
        </w:tc>
        <w:tc>
          <w:tcPr>
            <w:tcW w:w="1468" w:type="dxa"/>
            <w:vAlign w:val="center"/>
          </w:tcPr>
          <w:p w:rsidR="00A57BFD" w:rsidRDefault="005B0D19">
            <w:pPr>
              <w:rPr>
                <w:noProof/>
                <w:sz w:val="14"/>
              </w:rPr>
            </w:pPr>
            <w:r>
              <w:rPr>
                <w:noProof/>
                <w:sz w:val="18"/>
              </w:rPr>
              <w:t>Πληρωμές</w:t>
            </w:r>
          </w:p>
        </w:tc>
        <w:tc>
          <w:tcPr>
            <w:tcW w:w="947" w:type="dxa"/>
            <w:vAlign w:val="center"/>
          </w:tcPr>
          <w:p w:rsidR="00A57BFD" w:rsidRDefault="005B0D19">
            <w:pPr>
              <w:spacing w:before="60" w:after="60"/>
              <w:jc w:val="right"/>
              <w:rPr>
                <w:b/>
                <w:noProof/>
                <w:sz w:val="16"/>
                <w:szCs w:val="20"/>
              </w:rPr>
            </w:pPr>
            <w:r>
              <w:rPr>
                <w:b/>
                <w:noProof/>
                <w:color w:val="000000"/>
                <w:sz w:val="16"/>
              </w:rPr>
              <w:t>41.213,234</w:t>
            </w:r>
          </w:p>
        </w:tc>
        <w:tc>
          <w:tcPr>
            <w:tcW w:w="947" w:type="dxa"/>
            <w:vAlign w:val="center"/>
          </w:tcPr>
          <w:p w:rsidR="00A57BFD" w:rsidRDefault="005B0D19">
            <w:pPr>
              <w:spacing w:before="60" w:after="60"/>
              <w:jc w:val="right"/>
              <w:rPr>
                <w:b/>
                <w:noProof/>
                <w:sz w:val="16"/>
                <w:szCs w:val="20"/>
              </w:rPr>
            </w:pPr>
            <w:r>
              <w:rPr>
                <w:b/>
                <w:noProof/>
                <w:color w:val="000000"/>
                <w:sz w:val="16"/>
              </w:rPr>
              <w:t>44.364,167</w:t>
            </w:r>
          </w:p>
        </w:tc>
        <w:tc>
          <w:tcPr>
            <w:tcW w:w="948" w:type="dxa"/>
            <w:vAlign w:val="center"/>
          </w:tcPr>
          <w:p w:rsidR="00A57BFD" w:rsidRDefault="005B0D19">
            <w:pPr>
              <w:spacing w:before="60" w:after="60"/>
              <w:jc w:val="right"/>
              <w:rPr>
                <w:b/>
                <w:noProof/>
                <w:sz w:val="16"/>
                <w:szCs w:val="20"/>
              </w:rPr>
            </w:pPr>
            <w:r>
              <w:rPr>
                <w:b/>
                <w:noProof/>
                <w:color w:val="000000"/>
                <w:sz w:val="16"/>
              </w:rPr>
              <w:t>47.251,013</w:t>
            </w:r>
          </w:p>
        </w:tc>
        <w:tc>
          <w:tcPr>
            <w:tcW w:w="947" w:type="dxa"/>
            <w:vAlign w:val="center"/>
          </w:tcPr>
          <w:p w:rsidR="00A57BFD" w:rsidRDefault="005B0D19">
            <w:pPr>
              <w:spacing w:before="60" w:after="60"/>
              <w:jc w:val="right"/>
              <w:rPr>
                <w:b/>
                <w:noProof/>
                <w:sz w:val="16"/>
                <w:szCs w:val="20"/>
              </w:rPr>
            </w:pPr>
            <w:r>
              <w:rPr>
                <w:b/>
                <w:noProof/>
                <w:color w:val="000000"/>
                <w:sz w:val="16"/>
              </w:rPr>
              <w:t>48.941,643</w:t>
            </w:r>
          </w:p>
        </w:tc>
        <w:tc>
          <w:tcPr>
            <w:tcW w:w="947" w:type="dxa"/>
            <w:vAlign w:val="center"/>
          </w:tcPr>
          <w:p w:rsidR="00A57BFD" w:rsidRDefault="005B0D19">
            <w:pPr>
              <w:spacing w:before="60" w:after="60"/>
              <w:jc w:val="right"/>
              <w:rPr>
                <w:b/>
                <w:noProof/>
                <w:sz w:val="16"/>
                <w:szCs w:val="20"/>
              </w:rPr>
            </w:pPr>
            <w:r>
              <w:rPr>
                <w:b/>
                <w:noProof/>
                <w:color w:val="000000"/>
                <w:sz w:val="16"/>
              </w:rPr>
              <w:t>50.580,113</w:t>
            </w:r>
          </w:p>
        </w:tc>
        <w:tc>
          <w:tcPr>
            <w:tcW w:w="948" w:type="dxa"/>
            <w:vAlign w:val="center"/>
          </w:tcPr>
          <w:p w:rsidR="00A57BFD" w:rsidRDefault="005B0D19">
            <w:pPr>
              <w:spacing w:before="60" w:after="60"/>
              <w:jc w:val="right"/>
              <w:rPr>
                <w:b/>
                <w:noProof/>
                <w:sz w:val="16"/>
                <w:szCs w:val="20"/>
              </w:rPr>
            </w:pPr>
            <w:r>
              <w:rPr>
                <w:b/>
                <w:noProof/>
                <w:color w:val="000000"/>
                <w:sz w:val="16"/>
              </w:rPr>
              <w:t>51.697,848</w:t>
            </w:r>
          </w:p>
        </w:tc>
        <w:tc>
          <w:tcPr>
            <w:tcW w:w="947" w:type="dxa"/>
            <w:vAlign w:val="center"/>
          </w:tcPr>
          <w:p w:rsidR="00A57BFD" w:rsidRDefault="005B0D19">
            <w:pPr>
              <w:spacing w:before="60" w:after="60"/>
              <w:jc w:val="right"/>
              <w:rPr>
                <w:b/>
                <w:noProof/>
                <w:sz w:val="16"/>
                <w:szCs w:val="20"/>
              </w:rPr>
            </w:pPr>
            <w:r>
              <w:rPr>
                <w:b/>
                <w:noProof/>
                <w:color w:val="000000"/>
                <w:sz w:val="16"/>
              </w:rPr>
              <w:t>52.534,447</w:t>
            </w:r>
          </w:p>
        </w:tc>
        <w:tc>
          <w:tcPr>
            <w:tcW w:w="948" w:type="dxa"/>
            <w:vAlign w:val="center"/>
          </w:tcPr>
          <w:p w:rsidR="00A57BFD" w:rsidRDefault="005B0D19">
            <w:pPr>
              <w:spacing w:before="60" w:after="60"/>
              <w:jc w:val="right"/>
              <w:rPr>
                <w:b/>
                <w:noProof/>
                <w:sz w:val="16"/>
                <w:szCs w:val="20"/>
              </w:rPr>
            </w:pPr>
            <w:r>
              <w:rPr>
                <w:b/>
                <w:noProof/>
                <w:color w:val="000000"/>
                <w:sz w:val="16"/>
              </w:rPr>
              <w:t xml:space="preserve">29.345,008 </w:t>
            </w:r>
          </w:p>
        </w:tc>
        <w:tc>
          <w:tcPr>
            <w:tcW w:w="1292" w:type="dxa"/>
            <w:vAlign w:val="center"/>
          </w:tcPr>
          <w:p w:rsidR="00A57BFD" w:rsidRDefault="005B0D19">
            <w:pPr>
              <w:spacing w:before="60" w:after="60"/>
              <w:jc w:val="right"/>
              <w:rPr>
                <w:b/>
                <w:noProof/>
                <w:sz w:val="20"/>
                <w:szCs w:val="20"/>
              </w:rPr>
            </w:pPr>
            <w:r>
              <w:rPr>
                <w:b/>
                <w:noProof/>
                <w:color w:val="000000"/>
                <w:sz w:val="20"/>
              </w:rPr>
              <w:t>365.927,472</w:t>
            </w:r>
          </w:p>
        </w:tc>
      </w:tr>
    </w:tbl>
    <w:p w:rsidR="00A57BFD" w:rsidRDefault="005B0D19">
      <w:pPr>
        <w:rPr>
          <w:noProof/>
        </w:rPr>
      </w:pPr>
      <w:r>
        <w:rPr>
          <w:noProof/>
        </w:rPr>
        <w:t>Η διαφορά των συνολικών ποσών οφείλεται στη στρογγυλοποίηση.</w:t>
      </w:r>
    </w:p>
    <w:p w:rsidR="00A57BFD" w:rsidRDefault="00A57BFD">
      <w:pPr>
        <w:rPr>
          <w:noProof/>
        </w:rPr>
        <w:sectPr w:rsidR="00A57BFD" w:rsidSect="005B0D19">
          <w:headerReference w:type="default" r:id="rId20"/>
          <w:footerReference w:type="default" r:id="rId21"/>
          <w:headerReference w:type="first" r:id="rId22"/>
          <w:footerReference w:type="first" r:id="rId23"/>
          <w:pgSz w:w="16840" w:h="11907" w:orient="landscape" w:code="9"/>
          <w:pgMar w:top="1134" w:right="1418" w:bottom="1134" w:left="1418" w:header="709" w:footer="709" w:gutter="0"/>
          <w:cols w:space="708"/>
          <w:docGrid w:linePitch="360"/>
        </w:sectPr>
      </w:pPr>
    </w:p>
    <w:p w:rsidR="00A57BFD" w:rsidRDefault="00A57BFD">
      <w:pPr>
        <w:pStyle w:val="Text1"/>
        <w:ind w:left="0"/>
        <w:rPr>
          <w:rStyle w:val="a8"/>
          <w:bCs/>
          <w:i/>
          <w:noProof/>
        </w:rPr>
      </w:pPr>
    </w:p>
    <w:p w:rsidR="00A57BFD" w:rsidRDefault="005B0D19">
      <w:pPr>
        <w:pStyle w:val="ManualHeading3"/>
        <w:rPr>
          <w:noProof/>
        </w:rPr>
      </w:pPr>
      <w:r>
        <w:t>3.2.2.</w:t>
      </w:r>
      <w:r>
        <w:tab/>
      </w:r>
      <w:r>
        <w:rPr>
          <w:noProof/>
        </w:rPr>
        <w:t>Συνοπτική παρουσίαση των εκτιμώμενων επιπτώσεων στις πιστώσεις διοικητικού χαρακτήρα</w:t>
      </w:r>
    </w:p>
    <w:p w:rsidR="00A57BFD" w:rsidRDefault="005B0D19">
      <w:pPr>
        <w:pStyle w:val="ListDash1"/>
        <w:rPr>
          <w:noProof/>
        </w:rPr>
      </w:pPr>
      <w:r>
        <w:rPr>
          <w:noProof/>
        </w:rPr>
        <w:sym w:font="Wingdings" w:char="F0A8"/>
      </w:r>
      <w:r>
        <w:rPr>
          <w:noProof/>
        </w:rPr>
        <w:tab/>
        <w:t xml:space="preserve">Η πρόταση/πρωτοβουλία δεν συνεπάγεται τη χρησιμοποίηση πιστώσεων διοικητικού χαρακτήρα </w:t>
      </w:r>
    </w:p>
    <w:p w:rsidR="00A57BFD" w:rsidRDefault="005B0D19">
      <w:pPr>
        <w:pStyle w:val="ListDash1"/>
        <w:rPr>
          <w:noProof/>
        </w:rPr>
      </w:pPr>
      <w:r>
        <w:rPr>
          <w:noProof/>
        </w:rPr>
        <w:sym w:font="Wingdings" w:char="F0FD"/>
      </w:r>
      <w:r>
        <w:rPr>
          <w:noProof/>
        </w:rPr>
        <w:tab/>
        <w:t>Η πρόταση/πρωτοβουλία συνεπάγεται τη χρησιμοποίηση πιστώσεων διοικητικού χαρακτήρα, όπως εξηγείται κατωτέρω:</w:t>
      </w:r>
    </w:p>
    <w:p w:rsidR="00A57BFD" w:rsidRDefault="005B0D19">
      <w:pPr>
        <w:rPr>
          <w:noProof/>
          <w:sz w:val="20"/>
        </w:rPr>
      </w:pPr>
      <w:r>
        <w:rPr>
          <w:noProof/>
          <w:sz w:val="20"/>
        </w:rPr>
        <w:t>σε εκατ. EUR (με τρία δεκαδικά ψηφία)</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1980"/>
        <w:gridCol w:w="1080"/>
        <w:gridCol w:w="1080"/>
        <w:gridCol w:w="1080"/>
        <w:gridCol w:w="1080"/>
        <w:gridCol w:w="1080"/>
        <w:gridCol w:w="1080"/>
        <w:gridCol w:w="1080"/>
        <w:gridCol w:w="1080"/>
      </w:tblGrid>
      <w:tr w:rsidR="00A57BFD">
        <w:trPr>
          <w:trHeight w:val="585"/>
        </w:trPr>
        <w:tc>
          <w:tcPr>
            <w:tcW w:w="1980" w:type="dxa"/>
            <w:vAlign w:val="center"/>
          </w:tcPr>
          <w:p w:rsidR="00A57BFD" w:rsidRDefault="005B0D19">
            <w:pPr>
              <w:spacing w:before="60" w:after="60" w:line="200" w:lineRule="exact"/>
              <w:jc w:val="center"/>
              <w:rPr>
                <w:b/>
                <w:noProof/>
                <w:sz w:val="16"/>
                <w:szCs w:val="16"/>
              </w:rPr>
            </w:pPr>
            <w:r>
              <w:rPr>
                <w:b/>
                <w:noProof/>
                <w:sz w:val="16"/>
              </w:rPr>
              <w:t>Έτη</w:t>
            </w:r>
          </w:p>
        </w:tc>
        <w:tc>
          <w:tcPr>
            <w:tcW w:w="1080" w:type="dxa"/>
            <w:vAlign w:val="center"/>
          </w:tcPr>
          <w:p w:rsidR="00A57BFD" w:rsidRDefault="005B0D19">
            <w:pPr>
              <w:spacing w:before="60" w:after="60" w:line="200" w:lineRule="exact"/>
              <w:jc w:val="center"/>
              <w:rPr>
                <w:noProof/>
                <w:sz w:val="16"/>
                <w:szCs w:val="16"/>
              </w:rPr>
            </w:pPr>
            <w:r>
              <w:rPr>
                <w:b/>
                <w:noProof/>
                <w:sz w:val="20"/>
              </w:rPr>
              <w:t>2021</w:t>
            </w:r>
          </w:p>
        </w:tc>
        <w:tc>
          <w:tcPr>
            <w:tcW w:w="1080" w:type="dxa"/>
            <w:vAlign w:val="center"/>
          </w:tcPr>
          <w:p w:rsidR="00A57BFD" w:rsidRDefault="005B0D19">
            <w:pPr>
              <w:spacing w:before="60" w:after="60" w:line="200" w:lineRule="exact"/>
              <w:jc w:val="center"/>
              <w:rPr>
                <w:noProof/>
                <w:sz w:val="16"/>
                <w:szCs w:val="16"/>
              </w:rPr>
            </w:pPr>
            <w:r>
              <w:rPr>
                <w:b/>
                <w:noProof/>
                <w:sz w:val="20"/>
              </w:rPr>
              <w:t>2022</w:t>
            </w:r>
          </w:p>
        </w:tc>
        <w:tc>
          <w:tcPr>
            <w:tcW w:w="1080" w:type="dxa"/>
            <w:vAlign w:val="center"/>
          </w:tcPr>
          <w:p w:rsidR="00A57BFD" w:rsidRDefault="005B0D19">
            <w:pPr>
              <w:spacing w:before="60" w:after="60" w:line="200" w:lineRule="exact"/>
              <w:jc w:val="center"/>
              <w:rPr>
                <w:noProof/>
                <w:sz w:val="16"/>
                <w:szCs w:val="16"/>
              </w:rPr>
            </w:pPr>
            <w:r>
              <w:rPr>
                <w:b/>
                <w:noProof/>
                <w:sz w:val="20"/>
              </w:rPr>
              <w:t>2023</w:t>
            </w:r>
          </w:p>
        </w:tc>
        <w:tc>
          <w:tcPr>
            <w:tcW w:w="1080" w:type="dxa"/>
            <w:vAlign w:val="center"/>
          </w:tcPr>
          <w:p w:rsidR="00A57BFD" w:rsidRDefault="005B0D19">
            <w:pPr>
              <w:spacing w:before="60" w:after="60" w:line="200" w:lineRule="exact"/>
              <w:jc w:val="center"/>
              <w:rPr>
                <w:noProof/>
                <w:sz w:val="16"/>
                <w:szCs w:val="16"/>
              </w:rPr>
            </w:pPr>
            <w:r>
              <w:rPr>
                <w:b/>
                <w:noProof/>
                <w:sz w:val="20"/>
              </w:rPr>
              <w:t>2024</w:t>
            </w:r>
          </w:p>
        </w:tc>
        <w:tc>
          <w:tcPr>
            <w:tcW w:w="1080" w:type="dxa"/>
            <w:vAlign w:val="center"/>
          </w:tcPr>
          <w:p w:rsidR="00A57BFD" w:rsidRDefault="005B0D19">
            <w:pPr>
              <w:spacing w:line="200" w:lineRule="exact"/>
              <w:jc w:val="center"/>
              <w:rPr>
                <w:b/>
                <w:noProof/>
                <w:sz w:val="16"/>
                <w:szCs w:val="16"/>
              </w:rPr>
            </w:pPr>
            <w:r>
              <w:rPr>
                <w:b/>
                <w:noProof/>
                <w:sz w:val="18"/>
              </w:rPr>
              <w:t>2025</w:t>
            </w:r>
          </w:p>
        </w:tc>
        <w:tc>
          <w:tcPr>
            <w:tcW w:w="1080" w:type="dxa"/>
            <w:vAlign w:val="center"/>
          </w:tcPr>
          <w:p w:rsidR="00A57BFD" w:rsidRDefault="005B0D19">
            <w:pPr>
              <w:spacing w:line="200" w:lineRule="exact"/>
              <w:jc w:val="center"/>
              <w:rPr>
                <w:b/>
                <w:noProof/>
                <w:sz w:val="16"/>
                <w:szCs w:val="16"/>
              </w:rPr>
            </w:pPr>
            <w:r>
              <w:rPr>
                <w:b/>
                <w:noProof/>
                <w:sz w:val="18"/>
              </w:rPr>
              <w:t>2026</w:t>
            </w:r>
          </w:p>
        </w:tc>
        <w:tc>
          <w:tcPr>
            <w:tcW w:w="1080" w:type="dxa"/>
            <w:vAlign w:val="center"/>
          </w:tcPr>
          <w:p w:rsidR="00A57BFD" w:rsidRDefault="005B0D19">
            <w:pPr>
              <w:spacing w:line="200" w:lineRule="exact"/>
              <w:jc w:val="center"/>
              <w:rPr>
                <w:b/>
                <w:noProof/>
                <w:sz w:val="16"/>
                <w:szCs w:val="16"/>
              </w:rPr>
            </w:pPr>
            <w:r>
              <w:rPr>
                <w:b/>
                <w:noProof/>
                <w:sz w:val="18"/>
              </w:rPr>
              <w:t>2027</w:t>
            </w:r>
          </w:p>
        </w:tc>
        <w:tc>
          <w:tcPr>
            <w:tcW w:w="1080" w:type="dxa"/>
            <w:vAlign w:val="center"/>
          </w:tcPr>
          <w:p w:rsidR="00A57BFD" w:rsidRDefault="005B0D19">
            <w:pPr>
              <w:spacing w:before="60" w:after="60" w:line="200" w:lineRule="exact"/>
              <w:jc w:val="center"/>
              <w:rPr>
                <w:b/>
                <w:noProof/>
                <w:sz w:val="16"/>
                <w:szCs w:val="16"/>
              </w:rPr>
            </w:pPr>
            <w:r>
              <w:rPr>
                <w:b/>
                <w:noProof/>
                <w:sz w:val="16"/>
              </w:rPr>
              <w:t>ΣΥΝΟΛΟ</w:t>
            </w:r>
          </w:p>
        </w:tc>
      </w:tr>
    </w:tbl>
    <w:p w:rsidR="00A57BFD" w:rsidRDefault="00A57BFD">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1980"/>
        <w:gridCol w:w="1080"/>
        <w:gridCol w:w="1080"/>
        <w:gridCol w:w="1080"/>
        <w:gridCol w:w="1080"/>
        <w:gridCol w:w="1080"/>
        <w:gridCol w:w="1080"/>
        <w:gridCol w:w="1080"/>
        <w:gridCol w:w="1080"/>
      </w:tblGrid>
      <w:tr w:rsidR="00A57BFD">
        <w:trPr>
          <w:trHeight w:val="585"/>
        </w:trPr>
        <w:tc>
          <w:tcPr>
            <w:tcW w:w="1980" w:type="dxa"/>
            <w:shd w:val="clear" w:color="auto" w:fill="CCCCCC"/>
            <w:vAlign w:val="center"/>
          </w:tcPr>
          <w:p w:rsidR="00A57BFD" w:rsidRDefault="005B0D19">
            <w:pPr>
              <w:spacing w:before="60" w:after="60" w:line="200" w:lineRule="exact"/>
              <w:jc w:val="center"/>
              <w:rPr>
                <w:b/>
                <w:noProof/>
                <w:sz w:val="16"/>
                <w:szCs w:val="16"/>
              </w:rPr>
            </w:pPr>
            <w:r>
              <w:rPr>
                <w:b/>
                <w:noProof/>
                <w:sz w:val="16"/>
              </w:rPr>
              <w:t>ΤΟΜΕΑΣ 7</w:t>
            </w:r>
            <w:r>
              <w:rPr>
                <w:noProof/>
                <w:sz w:val="22"/>
              </w:rPr>
              <w:br/>
            </w:r>
            <w:r>
              <w:rPr>
                <w:b/>
                <w:noProof/>
                <w:sz w:val="16"/>
              </w:rPr>
              <w:t>του πολυετούς δημοσιονομικού πλαισίου</w:t>
            </w:r>
          </w:p>
        </w:tc>
        <w:tc>
          <w:tcPr>
            <w:tcW w:w="1080" w:type="dxa"/>
            <w:vAlign w:val="center"/>
          </w:tcPr>
          <w:p w:rsidR="00A57BFD" w:rsidRDefault="00A57BFD">
            <w:pPr>
              <w:spacing w:before="60" w:after="60" w:line="200" w:lineRule="exact"/>
              <w:jc w:val="right"/>
              <w:rPr>
                <w:noProof/>
                <w:sz w:val="16"/>
                <w:szCs w:val="16"/>
              </w:rPr>
            </w:pPr>
          </w:p>
        </w:tc>
        <w:tc>
          <w:tcPr>
            <w:tcW w:w="1080" w:type="dxa"/>
            <w:vAlign w:val="center"/>
          </w:tcPr>
          <w:p w:rsidR="00A57BFD" w:rsidRDefault="00A57BFD">
            <w:pPr>
              <w:spacing w:before="60" w:after="60" w:line="200" w:lineRule="exact"/>
              <w:jc w:val="right"/>
              <w:rPr>
                <w:noProof/>
                <w:sz w:val="16"/>
                <w:szCs w:val="16"/>
              </w:rPr>
            </w:pPr>
          </w:p>
        </w:tc>
        <w:tc>
          <w:tcPr>
            <w:tcW w:w="1080" w:type="dxa"/>
            <w:vAlign w:val="center"/>
          </w:tcPr>
          <w:p w:rsidR="00A57BFD" w:rsidRDefault="00A57BFD">
            <w:pPr>
              <w:spacing w:before="60" w:after="60" w:line="200" w:lineRule="exact"/>
              <w:jc w:val="right"/>
              <w:rPr>
                <w:noProof/>
                <w:sz w:val="16"/>
                <w:szCs w:val="16"/>
              </w:rPr>
            </w:pPr>
          </w:p>
        </w:tc>
        <w:tc>
          <w:tcPr>
            <w:tcW w:w="1080" w:type="dxa"/>
            <w:vAlign w:val="center"/>
          </w:tcPr>
          <w:p w:rsidR="00A57BFD" w:rsidRDefault="00A57BFD">
            <w:pPr>
              <w:spacing w:before="60" w:after="60" w:line="200" w:lineRule="exact"/>
              <w:jc w:val="right"/>
              <w:rPr>
                <w:noProof/>
                <w:sz w:val="16"/>
                <w:szCs w:val="16"/>
              </w:rPr>
            </w:pPr>
          </w:p>
        </w:tc>
        <w:tc>
          <w:tcPr>
            <w:tcW w:w="1080" w:type="dxa"/>
            <w:vAlign w:val="center"/>
          </w:tcPr>
          <w:p w:rsidR="00A57BFD" w:rsidRDefault="00A57BFD">
            <w:pPr>
              <w:spacing w:before="60" w:after="60" w:line="200" w:lineRule="exact"/>
              <w:jc w:val="right"/>
              <w:rPr>
                <w:noProof/>
                <w:sz w:val="16"/>
                <w:szCs w:val="16"/>
              </w:rPr>
            </w:pPr>
          </w:p>
        </w:tc>
        <w:tc>
          <w:tcPr>
            <w:tcW w:w="1080" w:type="dxa"/>
            <w:vAlign w:val="center"/>
          </w:tcPr>
          <w:p w:rsidR="00A57BFD" w:rsidRDefault="00A57BFD">
            <w:pPr>
              <w:spacing w:before="60" w:after="60" w:line="200" w:lineRule="exact"/>
              <w:jc w:val="right"/>
              <w:rPr>
                <w:noProof/>
                <w:sz w:val="16"/>
                <w:szCs w:val="16"/>
              </w:rPr>
            </w:pPr>
          </w:p>
        </w:tc>
        <w:tc>
          <w:tcPr>
            <w:tcW w:w="1080" w:type="dxa"/>
            <w:vAlign w:val="center"/>
          </w:tcPr>
          <w:p w:rsidR="00A57BFD" w:rsidRDefault="00A57BFD">
            <w:pPr>
              <w:spacing w:before="60" w:after="60" w:line="200" w:lineRule="exact"/>
              <w:jc w:val="right"/>
              <w:rPr>
                <w:b/>
                <w:noProof/>
                <w:sz w:val="16"/>
                <w:szCs w:val="16"/>
              </w:rPr>
            </w:pPr>
          </w:p>
        </w:tc>
        <w:tc>
          <w:tcPr>
            <w:tcW w:w="1080" w:type="dxa"/>
            <w:vAlign w:val="center"/>
          </w:tcPr>
          <w:p w:rsidR="00A57BFD" w:rsidRDefault="00A57BFD">
            <w:pPr>
              <w:spacing w:before="60" w:after="60" w:line="200" w:lineRule="exact"/>
              <w:jc w:val="right"/>
              <w:rPr>
                <w:b/>
                <w:noProof/>
                <w:sz w:val="16"/>
                <w:szCs w:val="16"/>
              </w:rPr>
            </w:pPr>
          </w:p>
        </w:tc>
      </w:tr>
      <w:tr w:rsidR="00A57BFD">
        <w:trPr>
          <w:trHeight w:val="585"/>
        </w:trPr>
        <w:tc>
          <w:tcPr>
            <w:tcW w:w="1980" w:type="dxa"/>
            <w:vAlign w:val="center"/>
          </w:tcPr>
          <w:p w:rsidR="00A57BFD" w:rsidRDefault="005B0D19">
            <w:pPr>
              <w:spacing w:before="60" w:after="60" w:line="200" w:lineRule="exact"/>
              <w:ind w:left="72"/>
              <w:jc w:val="left"/>
              <w:rPr>
                <w:noProof/>
                <w:sz w:val="16"/>
                <w:szCs w:val="16"/>
              </w:rPr>
            </w:pPr>
            <w:r>
              <w:rPr>
                <w:noProof/>
                <w:sz w:val="16"/>
              </w:rPr>
              <w:t xml:space="preserve">Ανθρώπινοι πόροι </w:t>
            </w:r>
          </w:p>
        </w:tc>
        <w:tc>
          <w:tcPr>
            <w:tcW w:w="1080" w:type="dxa"/>
            <w:vAlign w:val="center"/>
          </w:tcPr>
          <w:p w:rsidR="00A57BFD" w:rsidRDefault="005B0D19">
            <w:pPr>
              <w:spacing w:before="60" w:after="60" w:line="200" w:lineRule="exact"/>
              <w:jc w:val="right"/>
              <w:rPr>
                <w:noProof/>
                <w:sz w:val="16"/>
                <w:szCs w:val="16"/>
              </w:rPr>
            </w:pPr>
            <w:r>
              <w:rPr>
                <w:noProof/>
                <w:sz w:val="16"/>
              </w:rPr>
              <w:t>125,678</w:t>
            </w:r>
          </w:p>
        </w:tc>
        <w:tc>
          <w:tcPr>
            <w:tcW w:w="1080" w:type="dxa"/>
            <w:vAlign w:val="center"/>
          </w:tcPr>
          <w:p w:rsidR="00A57BFD" w:rsidRDefault="005B0D19">
            <w:pPr>
              <w:spacing w:before="60" w:after="60" w:line="200" w:lineRule="exact"/>
              <w:jc w:val="right"/>
              <w:rPr>
                <w:noProof/>
                <w:sz w:val="16"/>
                <w:szCs w:val="16"/>
              </w:rPr>
            </w:pPr>
            <w:r>
              <w:rPr>
                <w:noProof/>
                <w:sz w:val="16"/>
              </w:rPr>
              <w:t>125,678</w:t>
            </w:r>
          </w:p>
        </w:tc>
        <w:tc>
          <w:tcPr>
            <w:tcW w:w="1080" w:type="dxa"/>
            <w:vAlign w:val="center"/>
          </w:tcPr>
          <w:p w:rsidR="00A57BFD" w:rsidRDefault="005B0D19">
            <w:pPr>
              <w:spacing w:before="60" w:after="60" w:line="200" w:lineRule="exact"/>
              <w:jc w:val="right"/>
              <w:rPr>
                <w:noProof/>
                <w:sz w:val="16"/>
                <w:szCs w:val="16"/>
              </w:rPr>
            </w:pPr>
            <w:r>
              <w:rPr>
                <w:noProof/>
                <w:sz w:val="16"/>
              </w:rPr>
              <w:t>125,678</w:t>
            </w:r>
          </w:p>
        </w:tc>
        <w:tc>
          <w:tcPr>
            <w:tcW w:w="1080" w:type="dxa"/>
            <w:vAlign w:val="center"/>
          </w:tcPr>
          <w:p w:rsidR="00A57BFD" w:rsidRDefault="005B0D19">
            <w:pPr>
              <w:spacing w:before="60" w:after="60" w:line="200" w:lineRule="exact"/>
              <w:jc w:val="right"/>
              <w:rPr>
                <w:noProof/>
                <w:sz w:val="16"/>
                <w:szCs w:val="16"/>
              </w:rPr>
            </w:pPr>
            <w:r>
              <w:rPr>
                <w:noProof/>
                <w:sz w:val="16"/>
              </w:rPr>
              <w:t>125,678</w:t>
            </w:r>
          </w:p>
        </w:tc>
        <w:tc>
          <w:tcPr>
            <w:tcW w:w="1080" w:type="dxa"/>
            <w:vAlign w:val="center"/>
          </w:tcPr>
          <w:p w:rsidR="00A57BFD" w:rsidRDefault="005B0D19">
            <w:pPr>
              <w:spacing w:before="60" w:after="60" w:line="200" w:lineRule="exact"/>
              <w:jc w:val="right"/>
              <w:rPr>
                <w:noProof/>
                <w:sz w:val="16"/>
                <w:szCs w:val="16"/>
              </w:rPr>
            </w:pPr>
            <w:r>
              <w:rPr>
                <w:noProof/>
                <w:sz w:val="16"/>
              </w:rPr>
              <w:t>125,678</w:t>
            </w:r>
          </w:p>
        </w:tc>
        <w:tc>
          <w:tcPr>
            <w:tcW w:w="1080" w:type="dxa"/>
            <w:vAlign w:val="center"/>
          </w:tcPr>
          <w:p w:rsidR="00A57BFD" w:rsidRDefault="005B0D19">
            <w:pPr>
              <w:spacing w:before="60" w:after="60" w:line="200" w:lineRule="exact"/>
              <w:jc w:val="right"/>
              <w:rPr>
                <w:noProof/>
                <w:sz w:val="16"/>
                <w:szCs w:val="16"/>
              </w:rPr>
            </w:pPr>
            <w:r>
              <w:rPr>
                <w:noProof/>
                <w:sz w:val="16"/>
              </w:rPr>
              <w:t>125,678</w:t>
            </w:r>
          </w:p>
        </w:tc>
        <w:tc>
          <w:tcPr>
            <w:tcW w:w="1080" w:type="dxa"/>
            <w:vAlign w:val="center"/>
          </w:tcPr>
          <w:p w:rsidR="00A57BFD" w:rsidRDefault="005B0D19">
            <w:pPr>
              <w:spacing w:before="60" w:after="60" w:line="200" w:lineRule="exact"/>
              <w:jc w:val="right"/>
              <w:rPr>
                <w:b/>
                <w:noProof/>
                <w:sz w:val="16"/>
                <w:szCs w:val="16"/>
              </w:rPr>
            </w:pPr>
            <w:r>
              <w:rPr>
                <w:noProof/>
                <w:sz w:val="16"/>
              </w:rPr>
              <w:t>125,678</w:t>
            </w:r>
          </w:p>
        </w:tc>
        <w:tc>
          <w:tcPr>
            <w:tcW w:w="1080" w:type="dxa"/>
            <w:vAlign w:val="center"/>
          </w:tcPr>
          <w:p w:rsidR="00A57BFD" w:rsidRDefault="005B0D19">
            <w:pPr>
              <w:spacing w:before="60" w:after="60" w:line="200" w:lineRule="exact"/>
              <w:jc w:val="right"/>
              <w:rPr>
                <w:b/>
                <w:noProof/>
                <w:sz w:val="16"/>
                <w:szCs w:val="16"/>
              </w:rPr>
            </w:pPr>
            <w:r>
              <w:rPr>
                <w:b/>
                <w:noProof/>
                <w:sz w:val="16"/>
              </w:rPr>
              <w:t>879,746</w:t>
            </w:r>
          </w:p>
        </w:tc>
      </w:tr>
      <w:tr w:rsidR="00A57BFD">
        <w:trPr>
          <w:trHeight w:val="585"/>
        </w:trPr>
        <w:tc>
          <w:tcPr>
            <w:tcW w:w="1980" w:type="dxa"/>
            <w:vAlign w:val="center"/>
          </w:tcPr>
          <w:p w:rsidR="00A57BFD" w:rsidRDefault="005B0D19">
            <w:pPr>
              <w:spacing w:before="60" w:after="60" w:line="200" w:lineRule="exact"/>
              <w:ind w:left="72"/>
              <w:jc w:val="left"/>
              <w:rPr>
                <w:noProof/>
                <w:sz w:val="16"/>
                <w:szCs w:val="16"/>
              </w:rPr>
            </w:pPr>
            <w:r>
              <w:rPr>
                <w:noProof/>
                <w:sz w:val="16"/>
              </w:rPr>
              <w:t xml:space="preserve">Άλλες διοικητικές δαπάνες </w:t>
            </w:r>
          </w:p>
        </w:tc>
        <w:tc>
          <w:tcPr>
            <w:tcW w:w="1080" w:type="dxa"/>
            <w:vAlign w:val="center"/>
          </w:tcPr>
          <w:p w:rsidR="00A57BFD" w:rsidRDefault="005B0D19">
            <w:pPr>
              <w:spacing w:before="60" w:after="60" w:line="200" w:lineRule="exact"/>
              <w:jc w:val="right"/>
              <w:rPr>
                <w:noProof/>
                <w:sz w:val="16"/>
                <w:szCs w:val="16"/>
              </w:rPr>
            </w:pPr>
            <w:r>
              <w:rPr>
                <w:noProof/>
                <w:sz w:val="16"/>
              </w:rPr>
              <w:t>6,008</w:t>
            </w:r>
          </w:p>
        </w:tc>
        <w:tc>
          <w:tcPr>
            <w:tcW w:w="1080" w:type="dxa"/>
            <w:vAlign w:val="center"/>
          </w:tcPr>
          <w:p w:rsidR="00A57BFD" w:rsidRDefault="005B0D19">
            <w:pPr>
              <w:spacing w:before="60" w:after="60" w:line="200" w:lineRule="exact"/>
              <w:jc w:val="right"/>
              <w:rPr>
                <w:noProof/>
                <w:sz w:val="16"/>
                <w:szCs w:val="16"/>
              </w:rPr>
            </w:pPr>
            <w:r>
              <w:rPr>
                <w:noProof/>
                <w:sz w:val="16"/>
              </w:rPr>
              <w:t>6,008</w:t>
            </w:r>
          </w:p>
        </w:tc>
        <w:tc>
          <w:tcPr>
            <w:tcW w:w="1080" w:type="dxa"/>
            <w:vAlign w:val="center"/>
          </w:tcPr>
          <w:p w:rsidR="00A57BFD" w:rsidRDefault="005B0D19">
            <w:pPr>
              <w:spacing w:before="60" w:after="60" w:line="200" w:lineRule="exact"/>
              <w:jc w:val="right"/>
              <w:rPr>
                <w:noProof/>
                <w:sz w:val="16"/>
                <w:szCs w:val="16"/>
              </w:rPr>
            </w:pPr>
            <w:r>
              <w:rPr>
                <w:noProof/>
                <w:sz w:val="16"/>
              </w:rPr>
              <w:t>6,008</w:t>
            </w:r>
          </w:p>
        </w:tc>
        <w:tc>
          <w:tcPr>
            <w:tcW w:w="1080" w:type="dxa"/>
            <w:vAlign w:val="center"/>
          </w:tcPr>
          <w:p w:rsidR="00A57BFD" w:rsidRDefault="005B0D19">
            <w:pPr>
              <w:spacing w:before="60" w:after="60" w:line="200" w:lineRule="exact"/>
              <w:jc w:val="right"/>
              <w:rPr>
                <w:noProof/>
                <w:sz w:val="16"/>
                <w:szCs w:val="16"/>
              </w:rPr>
            </w:pPr>
            <w:r>
              <w:rPr>
                <w:noProof/>
                <w:sz w:val="16"/>
              </w:rPr>
              <w:t>6,008</w:t>
            </w:r>
          </w:p>
        </w:tc>
        <w:tc>
          <w:tcPr>
            <w:tcW w:w="1080" w:type="dxa"/>
            <w:vAlign w:val="center"/>
          </w:tcPr>
          <w:p w:rsidR="00A57BFD" w:rsidRDefault="005B0D19">
            <w:pPr>
              <w:spacing w:before="60" w:after="60" w:line="200" w:lineRule="exact"/>
              <w:jc w:val="right"/>
              <w:rPr>
                <w:noProof/>
                <w:sz w:val="16"/>
                <w:szCs w:val="16"/>
              </w:rPr>
            </w:pPr>
            <w:r>
              <w:rPr>
                <w:noProof/>
                <w:sz w:val="16"/>
              </w:rPr>
              <w:t>6,008</w:t>
            </w:r>
          </w:p>
        </w:tc>
        <w:tc>
          <w:tcPr>
            <w:tcW w:w="1080" w:type="dxa"/>
            <w:vAlign w:val="center"/>
          </w:tcPr>
          <w:p w:rsidR="00A57BFD" w:rsidRDefault="005B0D19">
            <w:pPr>
              <w:spacing w:before="60" w:after="60" w:line="200" w:lineRule="exact"/>
              <w:jc w:val="right"/>
              <w:rPr>
                <w:noProof/>
                <w:sz w:val="16"/>
                <w:szCs w:val="16"/>
              </w:rPr>
            </w:pPr>
            <w:r>
              <w:rPr>
                <w:noProof/>
                <w:sz w:val="16"/>
              </w:rPr>
              <w:t>6,008</w:t>
            </w:r>
          </w:p>
        </w:tc>
        <w:tc>
          <w:tcPr>
            <w:tcW w:w="1080" w:type="dxa"/>
            <w:vAlign w:val="center"/>
          </w:tcPr>
          <w:p w:rsidR="00A57BFD" w:rsidRDefault="005B0D19">
            <w:pPr>
              <w:spacing w:before="60" w:after="60" w:line="200" w:lineRule="exact"/>
              <w:jc w:val="right"/>
              <w:rPr>
                <w:b/>
                <w:noProof/>
                <w:sz w:val="16"/>
                <w:szCs w:val="16"/>
              </w:rPr>
            </w:pPr>
            <w:r>
              <w:rPr>
                <w:noProof/>
                <w:sz w:val="16"/>
              </w:rPr>
              <w:t>6,008</w:t>
            </w:r>
          </w:p>
        </w:tc>
        <w:tc>
          <w:tcPr>
            <w:tcW w:w="1080" w:type="dxa"/>
            <w:vAlign w:val="center"/>
          </w:tcPr>
          <w:p w:rsidR="00A57BFD" w:rsidRDefault="005B0D19">
            <w:pPr>
              <w:spacing w:before="60" w:after="60" w:line="200" w:lineRule="exact"/>
              <w:jc w:val="right"/>
              <w:rPr>
                <w:b/>
                <w:noProof/>
                <w:sz w:val="16"/>
                <w:szCs w:val="16"/>
              </w:rPr>
            </w:pPr>
            <w:r>
              <w:rPr>
                <w:b/>
                <w:noProof/>
                <w:sz w:val="16"/>
              </w:rPr>
              <w:t>42,056</w:t>
            </w:r>
          </w:p>
        </w:tc>
      </w:tr>
      <w:tr w:rsidR="00A57BFD">
        <w:trPr>
          <w:trHeight w:val="585"/>
        </w:trPr>
        <w:tc>
          <w:tcPr>
            <w:tcW w:w="1980" w:type="dxa"/>
            <w:shd w:val="clear" w:color="auto" w:fill="CCCCCC"/>
            <w:vAlign w:val="center"/>
          </w:tcPr>
          <w:p w:rsidR="00A57BFD" w:rsidRDefault="005B0D19">
            <w:pPr>
              <w:spacing w:before="60" w:after="60" w:line="200" w:lineRule="exact"/>
              <w:jc w:val="center"/>
              <w:rPr>
                <w:b/>
                <w:noProof/>
                <w:sz w:val="16"/>
                <w:szCs w:val="16"/>
              </w:rPr>
            </w:pPr>
            <w:r>
              <w:rPr>
                <w:b/>
                <w:noProof/>
                <w:sz w:val="16"/>
              </w:rPr>
              <w:t>Μερικό σύνολο του ΤΟΜΕΑ 7</w:t>
            </w:r>
            <w:r>
              <w:rPr>
                <w:noProof/>
                <w:sz w:val="22"/>
              </w:rPr>
              <w:br/>
            </w:r>
            <w:r>
              <w:rPr>
                <w:b/>
                <w:noProof/>
                <w:sz w:val="16"/>
              </w:rPr>
              <w:t xml:space="preserve">του πολυετούς δημοσιονομικού πλαισίου </w:t>
            </w:r>
          </w:p>
        </w:tc>
        <w:tc>
          <w:tcPr>
            <w:tcW w:w="1080" w:type="dxa"/>
            <w:vAlign w:val="center"/>
          </w:tcPr>
          <w:p w:rsidR="00A57BFD" w:rsidRDefault="005B0D19">
            <w:pPr>
              <w:spacing w:before="60" w:after="60" w:line="200" w:lineRule="exact"/>
              <w:jc w:val="right"/>
              <w:rPr>
                <w:b/>
                <w:noProof/>
                <w:sz w:val="16"/>
                <w:szCs w:val="16"/>
              </w:rPr>
            </w:pPr>
            <w:r>
              <w:rPr>
                <w:b/>
                <w:noProof/>
                <w:sz w:val="16"/>
              </w:rPr>
              <w:t>131,686</w:t>
            </w:r>
          </w:p>
        </w:tc>
        <w:tc>
          <w:tcPr>
            <w:tcW w:w="1080" w:type="dxa"/>
            <w:vAlign w:val="center"/>
          </w:tcPr>
          <w:p w:rsidR="00A57BFD" w:rsidRDefault="005B0D19">
            <w:pPr>
              <w:spacing w:before="60" w:after="60" w:line="200" w:lineRule="exact"/>
              <w:jc w:val="right"/>
              <w:rPr>
                <w:b/>
                <w:noProof/>
                <w:sz w:val="16"/>
                <w:szCs w:val="16"/>
              </w:rPr>
            </w:pPr>
            <w:r>
              <w:rPr>
                <w:b/>
                <w:noProof/>
                <w:sz w:val="16"/>
              </w:rPr>
              <w:t>131,686</w:t>
            </w:r>
          </w:p>
        </w:tc>
        <w:tc>
          <w:tcPr>
            <w:tcW w:w="1080" w:type="dxa"/>
            <w:vAlign w:val="center"/>
          </w:tcPr>
          <w:p w:rsidR="00A57BFD" w:rsidRDefault="005B0D19">
            <w:pPr>
              <w:spacing w:before="60" w:after="60" w:line="200" w:lineRule="exact"/>
              <w:jc w:val="right"/>
              <w:rPr>
                <w:b/>
                <w:noProof/>
                <w:sz w:val="16"/>
                <w:szCs w:val="16"/>
              </w:rPr>
            </w:pPr>
            <w:r>
              <w:rPr>
                <w:b/>
                <w:noProof/>
                <w:sz w:val="16"/>
              </w:rPr>
              <w:t>131,686</w:t>
            </w:r>
          </w:p>
        </w:tc>
        <w:tc>
          <w:tcPr>
            <w:tcW w:w="1080" w:type="dxa"/>
            <w:vAlign w:val="center"/>
          </w:tcPr>
          <w:p w:rsidR="00A57BFD" w:rsidRDefault="005B0D19">
            <w:pPr>
              <w:spacing w:before="60" w:after="60" w:line="200" w:lineRule="exact"/>
              <w:jc w:val="right"/>
              <w:rPr>
                <w:b/>
                <w:noProof/>
                <w:sz w:val="16"/>
                <w:szCs w:val="16"/>
              </w:rPr>
            </w:pPr>
            <w:r>
              <w:rPr>
                <w:b/>
                <w:noProof/>
                <w:sz w:val="16"/>
              </w:rPr>
              <w:t>131,686</w:t>
            </w:r>
          </w:p>
        </w:tc>
        <w:tc>
          <w:tcPr>
            <w:tcW w:w="1080" w:type="dxa"/>
            <w:vAlign w:val="center"/>
          </w:tcPr>
          <w:p w:rsidR="00A57BFD" w:rsidRDefault="005B0D19">
            <w:pPr>
              <w:spacing w:before="60" w:after="60" w:line="200" w:lineRule="exact"/>
              <w:jc w:val="right"/>
              <w:rPr>
                <w:b/>
                <w:noProof/>
                <w:sz w:val="16"/>
                <w:szCs w:val="16"/>
              </w:rPr>
            </w:pPr>
            <w:r>
              <w:rPr>
                <w:b/>
                <w:noProof/>
                <w:sz w:val="16"/>
              </w:rPr>
              <w:t>131,686</w:t>
            </w:r>
          </w:p>
        </w:tc>
        <w:tc>
          <w:tcPr>
            <w:tcW w:w="1080" w:type="dxa"/>
            <w:vAlign w:val="center"/>
          </w:tcPr>
          <w:p w:rsidR="00A57BFD" w:rsidRDefault="005B0D19">
            <w:pPr>
              <w:spacing w:before="60" w:after="60" w:line="200" w:lineRule="exact"/>
              <w:jc w:val="right"/>
              <w:rPr>
                <w:b/>
                <w:noProof/>
                <w:sz w:val="16"/>
                <w:szCs w:val="16"/>
              </w:rPr>
            </w:pPr>
            <w:r>
              <w:rPr>
                <w:b/>
                <w:noProof/>
                <w:sz w:val="16"/>
              </w:rPr>
              <w:t>131,686</w:t>
            </w:r>
          </w:p>
        </w:tc>
        <w:tc>
          <w:tcPr>
            <w:tcW w:w="1080" w:type="dxa"/>
            <w:vAlign w:val="center"/>
          </w:tcPr>
          <w:p w:rsidR="00A57BFD" w:rsidRDefault="005B0D19">
            <w:pPr>
              <w:spacing w:before="60" w:after="60" w:line="200" w:lineRule="exact"/>
              <w:jc w:val="right"/>
              <w:rPr>
                <w:b/>
                <w:noProof/>
                <w:sz w:val="16"/>
                <w:szCs w:val="16"/>
              </w:rPr>
            </w:pPr>
            <w:r>
              <w:rPr>
                <w:b/>
                <w:noProof/>
                <w:sz w:val="16"/>
              </w:rPr>
              <w:t>131,686</w:t>
            </w:r>
          </w:p>
        </w:tc>
        <w:tc>
          <w:tcPr>
            <w:tcW w:w="1080" w:type="dxa"/>
            <w:vAlign w:val="center"/>
          </w:tcPr>
          <w:p w:rsidR="00A57BFD" w:rsidRDefault="005B0D19">
            <w:pPr>
              <w:spacing w:before="60" w:after="60" w:line="200" w:lineRule="exact"/>
              <w:jc w:val="right"/>
              <w:rPr>
                <w:b/>
                <w:noProof/>
                <w:sz w:val="16"/>
                <w:szCs w:val="16"/>
              </w:rPr>
            </w:pPr>
            <w:r>
              <w:rPr>
                <w:b/>
                <w:noProof/>
                <w:sz w:val="16"/>
              </w:rPr>
              <w:t>921,802</w:t>
            </w:r>
          </w:p>
        </w:tc>
      </w:tr>
    </w:tbl>
    <w:p w:rsidR="00A57BFD" w:rsidRDefault="00A57BFD">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1980"/>
        <w:gridCol w:w="1080"/>
        <w:gridCol w:w="1080"/>
        <w:gridCol w:w="1080"/>
        <w:gridCol w:w="1080"/>
        <w:gridCol w:w="1080"/>
        <w:gridCol w:w="1080"/>
        <w:gridCol w:w="1080"/>
        <w:gridCol w:w="1080"/>
      </w:tblGrid>
      <w:tr w:rsidR="00A57BFD">
        <w:trPr>
          <w:trHeight w:val="585"/>
        </w:trPr>
        <w:tc>
          <w:tcPr>
            <w:tcW w:w="1980" w:type="dxa"/>
            <w:shd w:val="clear" w:color="auto" w:fill="CCCCCC"/>
            <w:vAlign w:val="center"/>
          </w:tcPr>
          <w:p w:rsidR="00A57BFD" w:rsidRDefault="005B0D19">
            <w:pPr>
              <w:spacing w:before="60" w:after="60" w:line="200" w:lineRule="exact"/>
              <w:jc w:val="center"/>
              <w:rPr>
                <w:noProof/>
                <w:sz w:val="16"/>
                <w:szCs w:val="16"/>
              </w:rPr>
            </w:pPr>
            <w:r>
              <w:rPr>
                <w:b/>
                <w:noProof/>
                <w:sz w:val="16"/>
              </w:rPr>
              <w:t>Εκτός του ΤΟΜΕΑ 7</w:t>
            </w:r>
            <w:r>
              <w:rPr>
                <w:rStyle w:val="af7"/>
                <w:b/>
                <w:noProof/>
                <w:sz w:val="16"/>
              </w:rPr>
              <w:footnoteReference w:id="50"/>
            </w:r>
            <w:r>
              <w:rPr>
                <w:noProof/>
                <w:sz w:val="22"/>
              </w:rPr>
              <w:br/>
            </w:r>
            <w:r>
              <w:rPr>
                <w:b/>
                <w:noProof/>
                <w:sz w:val="16"/>
              </w:rPr>
              <w:t xml:space="preserve">του πολυετούς δημοσιονομικού πλαισίου </w:t>
            </w:r>
          </w:p>
          <w:p w:rsidR="00A57BFD" w:rsidRDefault="00A57BFD">
            <w:pPr>
              <w:spacing w:before="0" w:after="0" w:line="200" w:lineRule="exact"/>
              <w:jc w:val="center"/>
              <w:rPr>
                <w:b/>
                <w:noProof/>
                <w:sz w:val="16"/>
                <w:szCs w:val="16"/>
              </w:rPr>
            </w:pPr>
          </w:p>
        </w:tc>
        <w:tc>
          <w:tcPr>
            <w:tcW w:w="1080" w:type="dxa"/>
            <w:vAlign w:val="center"/>
          </w:tcPr>
          <w:p w:rsidR="00A57BFD" w:rsidRDefault="00A57BFD">
            <w:pPr>
              <w:spacing w:before="60" w:after="60" w:line="200" w:lineRule="exact"/>
              <w:jc w:val="right"/>
              <w:rPr>
                <w:noProof/>
                <w:sz w:val="16"/>
                <w:szCs w:val="16"/>
              </w:rPr>
            </w:pPr>
          </w:p>
        </w:tc>
        <w:tc>
          <w:tcPr>
            <w:tcW w:w="1080" w:type="dxa"/>
            <w:vAlign w:val="center"/>
          </w:tcPr>
          <w:p w:rsidR="00A57BFD" w:rsidRDefault="00A57BFD">
            <w:pPr>
              <w:spacing w:before="60" w:after="60" w:line="200" w:lineRule="exact"/>
              <w:jc w:val="right"/>
              <w:rPr>
                <w:noProof/>
                <w:sz w:val="16"/>
                <w:szCs w:val="16"/>
              </w:rPr>
            </w:pPr>
          </w:p>
        </w:tc>
        <w:tc>
          <w:tcPr>
            <w:tcW w:w="1080" w:type="dxa"/>
            <w:vAlign w:val="center"/>
          </w:tcPr>
          <w:p w:rsidR="00A57BFD" w:rsidRDefault="00A57BFD">
            <w:pPr>
              <w:spacing w:before="60" w:after="60" w:line="200" w:lineRule="exact"/>
              <w:jc w:val="right"/>
              <w:rPr>
                <w:noProof/>
                <w:sz w:val="16"/>
                <w:szCs w:val="16"/>
              </w:rPr>
            </w:pPr>
          </w:p>
        </w:tc>
        <w:tc>
          <w:tcPr>
            <w:tcW w:w="1080" w:type="dxa"/>
            <w:vAlign w:val="center"/>
          </w:tcPr>
          <w:p w:rsidR="00A57BFD" w:rsidRDefault="00A57BFD">
            <w:pPr>
              <w:spacing w:before="60" w:after="60" w:line="200" w:lineRule="exact"/>
              <w:jc w:val="right"/>
              <w:rPr>
                <w:noProof/>
                <w:sz w:val="16"/>
                <w:szCs w:val="16"/>
              </w:rPr>
            </w:pPr>
          </w:p>
        </w:tc>
        <w:tc>
          <w:tcPr>
            <w:tcW w:w="1080" w:type="dxa"/>
            <w:vAlign w:val="center"/>
          </w:tcPr>
          <w:p w:rsidR="00A57BFD" w:rsidRDefault="00A57BFD">
            <w:pPr>
              <w:spacing w:before="60" w:after="60" w:line="200" w:lineRule="exact"/>
              <w:jc w:val="right"/>
              <w:rPr>
                <w:noProof/>
                <w:sz w:val="16"/>
                <w:szCs w:val="16"/>
              </w:rPr>
            </w:pPr>
          </w:p>
        </w:tc>
        <w:tc>
          <w:tcPr>
            <w:tcW w:w="1080" w:type="dxa"/>
            <w:vAlign w:val="center"/>
          </w:tcPr>
          <w:p w:rsidR="00A57BFD" w:rsidRDefault="00A57BFD">
            <w:pPr>
              <w:spacing w:before="60" w:after="60" w:line="200" w:lineRule="exact"/>
              <w:jc w:val="right"/>
              <w:rPr>
                <w:noProof/>
                <w:sz w:val="16"/>
                <w:szCs w:val="16"/>
              </w:rPr>
            </w:pPr>
          </w:p>
        </w:tc>
        <w:tc>
          <w:tcPr>
            <w:tcW w:w="1080" w:type="dxa"/>
            <w:vAlign w:val="center"/>
          </w:tcPr>
          <w:p w:rsidR="00A57BFD" w:rsidRDefault="00A57BFD">
            <w:pPr>
              <w:spacing w:before="60" w:after="60" w:line="200" w:lineRule="exact"/>
              <w:jc w:val="right"/>
              <w:rPr>
                <w:b/>
                <w:noProof/>
                <w:sz w:val="16"/>
                <w:szCs w:val="16"/>
              </w:rPr>
            </w:pPr>
          </w:p>
        </w:tc>
        <w:tc>
          <w:tcPr>
            <w:tcW w:w="1080" w:type="dxa"/>
            <w:vAlign w:val="center"/>
          </w:tcPr>
          <w:p w:rsidR="00A57BFD" w:rsidRDefault="00A57BFD">
            <w:pPr>
              <w:spacing w:before="60" w:after="60" w:line="200" w:lineRule="exact"/>
              <w:jc w:val="right"/>
              <w:rPr>
                <w:b/>
                <w:noProof/>
                <w:sz w:val="16"/>
                <w:szCs w:val="16"/>
              </w:rPr>
            </w:pPr>
          </w:p>
        </w:tc>
      </w:tr>
      <w:tr w:rsidR="00A57BFD">
        <w:trPr>
          <w:trHeight w:val="585"/>
        </w:trPr>
        <w:tc>
          <w:tcPr>
            <w:tcW w:w="1980" w:type="dxa"/>
            <w:vAlign w:val="center"/>
          </w:tcPr>
          <w:p w:rsidR="00A57BFD" w:rsidRDefault="005B0D19">
            <w:pPr>
              <w:spacing w:before="60" w:after="60" w:line="200" w:lineRule="exact"/>
              <w:ind w:left="72"/>
              <w:jc w:val="left"/>
              <w:rPr>
                <w:noProof/>
                <w:sz w:val="16"/>
                <w:szCs w:val="16"/>
              </w:rPr>
            </w:pPr>
            <w:r>
              <w:rPr>
                <w:noProof/>
                <w:sz w:val="16"/>
              </w:rPr>
              <w:t xml:space="preserve">Ανθρώπινοι πόροι </w:t>
            </w:r>
          </w:p>
        </w:tc>
        <w:tc>
          <w:tcPr>
            <w:tcW w:w="1080" w:type="dxa"/>
            <w:vAlign w:val="center"/>
          </w:tcPr>
          <w:p w:rsidR="00A57BFD" w:rsidRDefault="005B0D19">
            <w:pPr>
              <w:spacing w:before="60" w:after="60" w:line="200" w:lineRule="exact"/>
              <w:jc w:val="right"/>
              <w:rPr>
                <w:noProof/>
                <w:sz w:val="16"/>
                <w:szCs w:val="16"/>
              </w:rPr>
            </w:pPr>
            <w:r>
              <w:rPr>
                <w:noProof/>
                <w:sz w:val="16"/>
              </w:rPr>
              <w:t>1,850</w:t>
            </w:r>
          </w:p>
        </w:tc>
        <w:tc>
          <w:tcPr>
            <w:tcW w:w="1080" w:type="dxa"/>
            <w:vAlign w:val="center"/>
          </w:tcPr>
          <w:p w:rsidR="00A57BFD" w:rsidRDefault="005B0D19">
            <w:pPr>
              <w:spacing w:before="60" w:after="60" w:line="200" w:lineRule="exact"/>
              <w:jc w:val="right"/>
              <w:rPr>
                <w:noProof/>
                <w:sz w:val="16"/>
                <w:szCs w:val="16"/>
              </w:rPr>
            </w:pPr>
            <w:r>
              <w:rPr>
                <w:noProof/>
                <w:sz w:val="16"/>
              </w:rPr>
              <w:t>1,850</w:t>
            </w:r>
          </w:p>
        </w:tc>
        <w:tc>
          <w:tcPr>
            <w:tcW w:w="1080" w:type="dxa"/>
            <w:vAlign w:val="center"/>
          </w:tcPr>
          <w:p w:rsidR="00A57BFD" w:rsidRDefault="005B0D19">
            <w:pPr>
              <w:spacing w:before="60" w:after="60" w:line="200" w:lineRule="exact"/>
              <w:jc w:val="right"/>
              <w:rPr>
                <w:noProof/>
                <w:sz w:val="16"/>
                <w:szCs w:val="16"/>
              </w:rPr>
            </w:pPr>
            <w:r>
              <w:rPr>
                <w:noProof/>
                <w:sz w:val="16"/>
              </w:rPr>
              <w:t>1,850</w:t>
            </w:r>
          </w:p>
        </w:tc>
        <w:tc>
          <w:tcPr>
            <w:tcW w:w="1080" w:type="dxa"/>
            <w:vAlign w:val="center"/>
          </w:tcPr>
          <w:p w:rsidR="00A57BFD" w:rsidRDefault="005B0D19">
            <w:pPr>
              <w:spacing w:before="60" w:after="60" w:line="200" w:lineRule="exact"/>
              <w:jc w:val="right"/>
              <w:rPr>
                <w:noProof/>
                <w:sz w:val="16"/>
                <w:szCs w:val="16"/>
              </w:rPr>
            </w:pPr>
            <w:r>
              <w:rPr>
                <w:noProof/>
                <w:sz w:val="16"/>
              </w:rPr>
              <w:t>1,850</w:t>
            </w:r>
          </w:p>
        </w:tc>
        <w:tc>
          <w:tcPr>
            <w:tcW w:w="1080" w:type="dxa"/>
            <w:vAlign w:val="center"/>
          </w:tcPr>
          <w:p w:rsidR="00A57BFD" w:rsidRDefault="005B0D19">
            <w:pPr>
              <w:spacing w:before="60" w:after="60" w:line="200" w:lineRule="exact"/>
              <w:jc w:val="right"/>
              <w:rPr>
                <w:noProof/>
                <w:sz w:val="16"/>
                <w:szCs w:val="16"/>
              </w:rPr>
            </w:pPr>
            <w:r>
              <w:rPr>
                <w:noProof/>
                <w:sz w:val="16"/>
              </w:rPr>
              <w:t>1,850</w:t>
            </w:r>
          </w:p>
        </w:tc>
        <w:tc>
          <w:tcPr>
            <w:tcW w:w="1080" w:type="dxa"/>
            <w:vAlign w:val="center"/>
          </w:tcPr>
          <w:p w:rsidR="00A57BFD" w:rsidRDefault="005B0D19">
            <w:pPr>
              <w:spacing w:before="60" w:after="60" w:line="200" w:lineRule="exact"/>
              <w:jc w:val="right"/>
              <w:rPr>
                <w:noProof/>
                <w:sz w:val="16"/>
                <w:szCs w:val="16"/>
              </w:rPr>
            </w:pPr>
            <w:r>
              <w:rPr>
                <w:noProof/>
                <w:sz w:val="16"/>
              </w:rPr>
              <w:t>1,850</w:t>
            </w:r>
          </w:p>
        </w:tc>
        <w:tc>
          <w:tcPr>
            <w:tcW w:w="1080" w:type="dxa"/>
            <w:vAlign w:val="center"/>
          </w:tcPr>
          <w:p w:rsidR="00A57BFD" w:rsidRDefault="005B0D19">
            <w:pPr>
              <w:spacing w:before="60" w:after="60" w:line="200" w:lineRule="exact"/>
              <w:jc w:val="right"/>
              <w:rPr>
                <w:b/>
                <w:noProof/>
                <w:sz w:val="16"/>
                <w:szCs w:val="16"/>
              </w:rPr>
            </w:pPr>
            <w:r>
              <w:rPr>
                <w:noProof/>
                <w:sz w:val="16"/>
              </w:rPr>
              <w:t>1,850</w:t>
            </w:r>
          </w:p>
        </w:tc>
        <w:tc>
          <w:tcPr>
            <w:tcW w:w="1080" w:type="dxa"/>
            <w:vAlign w:val="center"/>
          </w:tcPr>
          <w:p w:rsidR="00A57BFD" w:rsidRDefault="005B0D19">
            <w:pPr>
              <w:spacing w:before="60" w:after="60" w:line="200" w:lineRule="exact"/>
              <w:jc w:val="right"/>
              <w:rPr>
                <w:b/>
                <w:noProof/>
                <w:sz w:val="16"/>
                <w:szCs w:val="16"/>
              </w:rPr>
            </w:pPr>
            <w:r>
              <w:rPr>
                <w:noProof/>
                <w:sz w:val="16"/>
              </w:rPr>
              <w:t>12,950</w:t>
            </w:r>
          </w:p>
        </w:tc>
      </w:tr>
      <w:tr w:rsidR="00A57BFD">
        <w:trPr>
          <w:trHeight w:val="585"/>
        </w:trPr>
        <w:tc>
          <w:tcPr>
            <w:tcW w:w="1980" w:type="dxa"/>
            <w:vAlign w:val="center"/>
          </w:tcPr>
          <w:p w:rsidR="00A57BFD" w:rsidRDefault="005B0D19">
            <w:pPr>
              <w:spacing w:before="60" w:after="60" w:line="200" w:lineRule="exact"/>
              <w:ind w:left="72"/>
              <w:jc w:val="left"/>
              <w:rPr>
                <w:noProof/>
                <w:sz w:val="16"/>
                <w:szCs w:val="16"/>
              </w:rPr>
            </w:pPr>
            <w:r>
              <w:rPr>
                <w:noProof/>
              </w:rPr>
              <w:t>Άλλες δαπάνες</w:t>
            </w:r>
            <w:r>
              <w:rPr>
                <w:noProof/>
                <w:sz w:val="22"/>
              </w:rPr>
              <w:br/>
            </w:r>
            <w:r>
              <w:rPr>
                <w:noProof/>
                <w:sz w:val="16"/>
              </w:rPr>
              <w:t>διοικητικού χαρακτήρα</w:t>
            </w:r>
          </w:p>
        </w:tc>
        <w:tc>
          <w:tcPr>
            <w:tcW w:w="1080" w:type="dxa"/>
            <w:vAlign w:val="center"/>
          </w:tcPr>
          <w:p w:rsidR="00A57BFD" w:rsidRDefault="005B0D19">
            <w:pPr>
              <w:spacing w:before="60" w:after="60" w:line="200" w:lineRule="exact"/>
              <w:jc w:val="right"/>
              <w:rPr>
                <w:noProof/>
                <w:sz w:val="16"/>
                <w:szCs w:val="16"/>
              </w:rPr>
            </w:pPr>
            <w:r>
              <w:rPr>
                <w:noProof/>
                <w:sz w:val="16"/>
              </w:rPr>
              <w:t>17,150</w:t>
            </w:r>
          </w:p>
        </w:tc>
        <w:tc>
          <w:tcPr>
            <w:tcW w:w="1080" w:type="dxa"/>
            <w:vAlign w:val="center"/>
          </w:tcPr>
          <w:p w:rsidR="00A57BFD" w:rsidRDefault="005B0D19">
            <w:pPr>
              <w:spacing w:before="60" w:after="60" w:line="200" w:lineRule="exact"/>
              <w:jc w:val="right"/>
              <w:rPr>
                <w:noProof/>
                <w:sz w:val="16"/>
                <w:szCs w:val="16"/>
              </w:rPr>
            </w:pPr>
            <w:r>
              <w:rPr>
                <w:noProof/>
                <w:sz w:val="16"/>
              </w:rPr>
              <w:t>17,150</w:t>
            </w:r>
          </w:p>
        </w:tc>
        <w:tc>
          <w:tcPr>
            <w:tcW w:w="1080" w:type="dxa"/>
            <w:vAlign w:val="center"/>
          </w:tcPr>
          <w:p w:rsidR="00A57BFD" w:rsidRDefault="005B0D19">
            <w:pPr>
              <w:spacing w:before="60" w:after="60" w:line="200" w:lineRule="exact"/>
              <w:jc w:val="right"/>
              <w:rPr>
                <w:noProof/>
                <w:sz w:val="16"/>
                <w:szCs w:val="16"/>
              </w:rPr>
            </w:pPr>
            <w:r>
              <w:rPr>
                <w:noProof/>
                <w:sz w:val="16"/>
              </w:rPr>
              <w:t>17,150</w:t>
            </w:r>
          </w:p>
        </w:tc>
        <w:tc>
          <w:tcPr>
            <w:tcW w:w="1080" w:type="dxa"/>
            <w:vAlign w:val="center"/>
          </w:tcPr>
          <w:p w:rsidR="00A57BFD" w:rsidRDefault="005B0D19">
            <w:pPr>
              <w:spacing w:before="60" w:after="60" w:line="200" w:lineRule="exact"/>
              <w:jc w:val="right"/>
              <w:rPr>
                <w:noProof/>
                <w:sz w:val="16"/>
                <w:szCs w:val="16"/>
              </w:rPr>
            </w:pPr>
            <w:r>
              <w:rPr>
                <w:noProof/>
                <w:sz w:val="16"/>
              </w:rPr>
              <w:t>17,150</w:t>
            </w:r>
          </w:p>
        </w:tc>
        <w:tc>
          <w:tcPr>
            <w:tcW w:w="1080" w:type="dxa"/>
            <w:vAlign w:val="center"/>
          </w:tcPr>
          <w:p w:rsidR="00A57BFD" w:rsidRDefault="005B0D19">
            <w:pPr>
              <w:spacing w:before="60" w:after="60" w:line="200" w:lineRule="exact"/>
              <w:jc w:val="right"/>
              <w:rPr>
                <w:noProof/>
                <w:sz w:val="16"/>
                <w:szCs w:val="16"/>
              </w:rPr>
            </w:pPr>
            <w:r>
              <w:rPr>
                <w:noProof/>
                <w:sz w:val="16"/>
              </w:rPr>
              <w:t>17,150</w:t>
            </w:r>
          </w:p>
        </w:tc>
        <w:tc>
          <w:tcPr>
            <w:tcW w:w="1080" w:type="dxa"/>
            <w:vAlign w:val="center"/>
          </w:tcPr>
          <w:p w:rsidR="00A57BFD" w:rsidRDefault="005B0D19">
            <w:pPr>
              <w:spacing w:before="60" w:after="60" w:line="200" w:lineRule="exact"/>
              <w:jc w:val="right"/>
              <w:rPr>
                <w:noProof/>
                <w:sz w:val="16"/>
                <w:szCs w:val="16"/>
              </w:rPr>
            </w:pPr>
            <w:r>
              <w:rPr>
                <w:noProof/>
                <w:sz w:val="16"/>
              </w:rPr>
              <w:t>17,150</w:t>
            </w:r>
          </w:p>
        </w:tc>
        <w:tc>
          <w:tcPr>
            <w:tcW w:w="1080" w:type="dxa"/>
            <w:vAlign w:val="center"/>
          </w:tcPr>
          <w:p w:rsidR="00A57BFD" w:rsidRDefault="005B0D19">
            <w:pPr>
              <w:spacing w:before="60" w:after="60" w:line="200" w:lineRule="exact"/>
              <w:jc w:val="right"/>
              <w:rPr>
                <w:b/>
                <w:noProof/>
                <w:sz w:val="16"/>
                <w:szCs w:val="16"/>
              </w:rPr>
            </w:pPr>
            <w:r>
              <w:rPr>
                <w:noProof/>
                <w:sz w:val="16"/>
              </w:rPr>
              <w:t>17,150</w:t>
            </w:r>
          </w:p>
        </w:tc>
        <w:tc>
          <w:tcPr>
            <w:tcW w:w="1080" w:type="dxa"/>
            <w:vAlign w:val="center"/>
          </w:tcPr>
          <w:p w:rsidR="00A57BFD" w:rsidRDefault="005B0D19">
            <w:pPr>
              <w:spacing w:before="60" w:after="60" w:line="200" w:lineRule="exact"/>
              <w:jc w:val="right"/>
              <w:rPr>
                <w:b/>
                <w:noProof/>
                <w:sz w:val="16"/>
                <w:szCs w:val="16"/>
              </w:rPr>
            </w:pPr>
            <w:r>
              <w:rPr>
                <w:noProof/>
                <w:sz w:val="16"/>
              </w:rPr>
              <w:t>120,050</w:t>
            </w:r>
          </w:p>
        </w:tc>
      </w:tr>
      <w:tr w:rsidR="00A57BFD">
        <w:trPr>
          <w:trHeight w:val="585"/>
        </w:trPr>
        <w:tc>
          <w:tcPr>
            <w:tcW w:w="1980" w:type="dxa"/>
            <w:shd w:val="clear" w:color="auto" w:fill="CCCCCC"/>
            <w:vAlign w:val="center"/>
          </w:tcPr>
          <w:p w:rsidR="00A57BFD" w:rsidRDefault="005B0D19">
            <w:pPr>
              <w:spacing w:before="60" w:after="60" w:line="200" w:lineRule="exact"/>
              <w:jc w:val="center"/>
              <w:rPr>
                <w:b/>
                <w:noProof/>
                <w:sz w:val="16"/>
                <w:szCs w:val="16"/>
              </w:rPr>
            </w:pPr>
            <w:r>
              <w:rPr>
                <w:b/>
                <w:noProof/>
                <w:sz w:val="16"/>
              </w:rPr>
              <w:t>Μερικό σύνολο</w:t>
            </w:r>
            <w:r>
              <w:rPr>
                <w:noProof/>
                <w:sz w:val="22"/>
              </w:rPr>
              <w:br/>
            </w:r>
            <w:r>
              <w:rPr>
                <w:b/>
                <w:noProof/>
                <w:sz w:val="16"/>
              </w:rPr>
              <w:t>εκτός του ΤΟΜΕΑ 7</w:t>
            </w:r>
            <w:r>
              <w:rPr>
                <w:noProof/>
                <w:sz w:val="22"/>
              </w:rPr>
              <w:br/>
            </w:r>
            <w:r>
              <w:rPr>
                <w:b/>
                <w:noProof/>
                <w:sz w:val="16"/>
              </w:rPr>
              <w:t xml:space="preserve">του πολυετούς δημοσιονομικού πλαισίου </w:t>
            </w:r>
          </w:p>
        </w:tc>
        <w:tc>
          <w:tcPr>
            <w:tcW w:w="1080" w:type="dxa"/>
            <w:vAlign w:val="center"/>
          </w:tcPr>
          <w:p w:rsidR="00A57BFD" w:rsidRDefault="005B0D19">
            <w:pPr>
              <w:spacing w:before="60" w:after="60" w:line="200" w:lineRule="exact"/>
              <w:jc w:val="right"/>
              <w:rPr>
                <w:b/>
                <w:noProof/>
                <w:sz w:val="16"/>
                <w:szCs w:val="16"/>
              </w:rPr>
            </w:pPr>
            <w:r>
              <w:rPr>
                <w:b/>
                <w:noProof/>
                <w:sz w:val="16"/>
              </w:rPr>
              <w:t>19,000</w:t>
            </w:r>
          </w:p>
        </w:tc>
        <w:tc>
          <w:tcPr>
            <w:tcW w:w="1080" w:type="dxa"/>
            <w:vAlign w:val="center"/>
          </w:tcPr>
          <w:p w:rsidR="00A57BFD" w:rsidRDefault="005B0D19">
            <w:pPr>
              <w:spacing w:before="60" w:after="60" w:line="200" w:lineRule="exact"/>
              <w:jc w:val="right"/>
              <w:rPr>
                <w:b/>
                <w:noProof/>
                <w:sz w:val="16"/>
                <w:szCs w:val="16"/>
              </w:rPr>
            </w:pPr>
            <w:r>
              <w:rPr>
                <w:b/>
                <w:noProof/>
                <w:sz w:val="16"/>
              </w:rPr>
              <w:t>19,000</w:t>
            </w:r>
          </w:p>
        </w:tc>
        <w:tc>
          <w:tcPr>
            <w:tcW w:w="1080" w:type="dxa"/>
            <w:vAlign w:val="center"/>
          </w:tcPr>
          <w:p w:rsidR="00A57BFD" w:rsidRDefault="005B0D19">
            <w:pPr>
              <w:spacing w:before="60" w:after="60" w:line="200" w:lineRule="exact"/>
              <w:jc w:val="right"/>
              <w:rPr>
                <w:b/>
                <w:noProof/>
                <w:sz w:val="16"/>
                <w:szCs w:val="16"/>
              </w:rPr>
            </w:pPr>
            <w:r>
              <w:rPr>
                <w:b/>
                <w:noProof/>
                <w:sz w:val="16"/>
              </w:rPr>
              <w:t>19,000</w:t>
            </w:r>
          </w:p>
        </w:tc>
        <w:tc>
          <w:tcPr>
            <w:tcW w:w="1080" w:type="dxa"/>
            <w:vAlign w:val="center"/>
          </w:tcPr>
          <w:p w:rsidR="00A57BFD" w:rsidRDefault="005B0D19">
            <w:pPr>
              <w:spacing w:before="60" w:after="60" w:line="200" w:lineRule="exact"/>
              <w:jc w:val="right"/>
              <w:rPr>
                <w:b/>
                <w:noProof/>
                <w:sz w:val="16"/>
                <w:szCs w:val="16"/>
              </w:rPr>
            </w:pPr>
            <w:r>
              <w:rPr>
                <w:b/>
                <w:noProof/>
                <w:sz w:val="16"/>
              </w:rPr>
              <w:t>19,000</w:t>
            </w:r>
          </w:p>
        </w:tc>
        <w:tc>
          <w:tcPr>
            <w:tcW w:w="1080" w:type="dxa"/>
            <w:vAlign w:val="center"/>
          </w:tcPr>
          <w:p w:rsidR="00A57BFD" w:rsidRDefault="005B0D19">
            <w:pPr>
              <w:spacing w:before="60" w:after="60" w:line="200" w:lineRule="exact"/>
              <w:jc w:val="right"/>
              <w:rPr>
                <w:b/>
                <w:noProof/>
                <w:sz w:val="16"/>
                <w:szCs w:val="16"/>
              </w:rPr>
            </w:pPr>
            <w:r>
              <w:rPr>
                <w:b/>
                <w:noProof/>
                <w:sz w:val="16"/>
              </w:rPr>
              <w:t>19,000</w:t>
            </w:r>
          </w:p>
        </w:tc>
        <w:tc>
          <w:tcPr>
            <w:tcW w:w="1080" w:type="dxa"/>
            <w:vAlign w:val="center"/>
          </w:tcPr>
          <w:p w:rsidR="00A57BFD" w:rsidRDefault="005B0D19">
            <w:pPr>
              <w:spacing w:before="60" w:after="60" w:line="200" w:lineRule="exact"/>
              <w:jc w:val="right"/>
              <w:rPr>
                <w:b/>
                <w:noProof/>
                <w:sz w:val="16"/>
                <w:szCs w:val="16"/>
              </w:rPr>
            </w:pPr>
            <w:r>
              <w:rPr>
                <w:b/>
                <w:noProof/>
                <w:sz w:val="16"/>
              </w:rPr>
              <w:t>19,000</w:t>
            </w:r>
          </w:p>
        </w:tc>
        <w:tc>
          <w:tcPr>
            <w:tcW w:w="1080" w:type="dxa"/>
            <w:vAlign w:val="center"/>
          </w:tcPr>
          <w:p w:rsidR="00A57BFD" w:rsidRDefault="005B0D19">
            <w:pPr>
              <w:spacing w:before="60" w:after="60" w:line="200" w:lineRule="exact"/>
              <w:jc w:val="right"/>
              <w:rPr>
                <w:b/>
                <w:noProof/>
                <w:sz w:val="16"/>
                <w:szCs w:val="16"/>
              </w:rPr>
            </w:pPr>
            <w:r>
              <w:rPr>
                <w:b/>
                <w:noProof/>
                <w:sz w:val="16"/>
              </w:rPr>
              <w:t>19,000</w:t>
            </w:r>
          </w:p>
        </w:tc>
        <w:tc>
          <w:tcPr>
            <w:tcW w:w="1080" w:type="dxa"/>
            <w:vAlign w:val="center"/>
          </w:tcPr>
          <w:p w:rsidR="00A57BFD" w:rsidRDefault="005B0D19">
            <w:pPr>
              <w:spacing w:before="60" w:after="60" w:line="200" w:lineRule="exact"/>
              <w:jc w:val="right"/>
              <w:rPr>
                <w:b/>
                <w:noProof/>
                <w:sz w:val="16"/>
                <w:szCs w:val="16"/>
              </w:rPr>
            </w:pPr>
            <w:r>
              <w:rPr>
                <w:b/>
                <w:noProof/>
                <w:sz w:val="16"/>
              </w:rPr>
              <w:t>133,000</w:t>
            </w:r>
          </w:p>
        </w:tc>
      </w:tr>
    </w:tbl>
    <w:p w:rsidR="00A57BFD" w:rsidRDefault="005B0D19">
      <w:pPr>
        <w:spacing w:line="200" w:lineRule="exact"/>
        <w:rPr>
          <w:noProof/>
          <w:sz w:val="16"/>
          <w:szCs w:val="16"/>
        </w:rPr>
      </w:pPr>
      <w:r>
        <w:rPr>
          <w:noProof/>
        </w:rPr>
        <w:t>Η διαφορά των συνολικών ποσών οφείλεται στη στρογγυλοποίηση.</w:t>
      </w:r>
    </w:p>
    <w:tbl>
      <w:tblPr>
        <w:tblW w:w="10620" w:type="dxa"/>
        <w:tblInd w:w="-612" w:type="dxa"/>
        <w:tblLayout w:type="fixed"/>
        <w:tblLook w:val="01E0"/>
      </w:tblPr>
      <w:tblGrid>
        <w:gridCol w:w="1980"/>
        <w:gridCol w:w="1080"/>
        <w:gridCol w:w="1080"/>
        <w:gridCol w:w="1080"/>
        <w:gridCol w:w="1080"/>
        <w:gridCol w:w="1080"/>
        <w:gridCol w:w="1080"/>
        <w:gridCol w:w="1080"/>
        <w:gridCol w:w="1080"/>
      </w:tblGrid>
      <w:tr w:rsidR="00A57BFD">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A57BFD" w:rsidRDefault="005B0D19">
            <w:pPr>
              <w:spacing w:before="60" w:after="60" w:line="200" w:lineRule="exact"/>
              <w:jc w:val="center"/>
              <w:rPr>
                <w:noProof/>
                <w:sz w:val="16"/>
                <w:szCs w:val="16"/>
              </w:rPr>
            </w:pPr>
            <w:r>
              <w:rPr>
                <w:b/>
                <w:noProof/>
                <w:sz w:val="16"/>
              </w:rPr>
              <w:t>ΣΥΝΟΛΟ</w:t>
            </w:r>
          </w:p>
        </w:tc>
        <w:tc>
          <w:tcPr>
            <w:tcW w:w="1080" w:type="dxa"/>
            <w:tcBorders>
              <w:top w:val="single" w:sz="12" w:space="0" w:color="auto"/>
              <w:left w:val="single" w:sz="2" w:space="0" w:color="auto"/>
              <w:bottom w:val="single" w:sz="12" w:space="0" w:color="auto"/>
              <w:right w:val="single" w:sz="2" w:space="0" w:color="auto"/>
            </w:tcBorders>
            <w:vAlign w:val="center"/>
          </w:tcPr>
          <w:p w:rsidR="00A57BFD" w:rsidRDefault="005B0D19">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A57BFD" w:rsidRDefault="005B0D19">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A57BFD" w:rsidRDefault="005B0D19">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A57BFD" w:rsidRDefault="005B0D19">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A57BFD" w:rsidRDefault="005B0D19">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A57BFD" w:rsidRDefault="005B0D19">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A57BFD" w:rsidRDefault="005B0D19">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12" w:space="0" w:color="auto"/>
            </w:tcBorders>
            <w:vAlign w:val="center"/>
          </w:tcPr>
          <w:p w:rsidR="00A57BFD" w:rsidRDefault="005B0D19">
            <w:pPr>
              <w:spacing w:before="60" w:after="60" w:line="200" w:lineRule="exact"/>
              <w:jc w:val="right"/>
              <w:rPr>
                <w:b/>
                <w:noProof/>
                <w:sz w:val="20"/>
                <w:szCs w:val="20"/>
              </w:rPr>
            </w:pPr>
            <w:r>
              <w:rPr>
                <w:b/>
                <w:noProof/>
                <w:color w:val="000000"/>
                <w:sz w:val="20"/>
              </w:rPr>
              <w:t>1 054.802</w:t>
            </w:r>
          </w:p>
        </w:tc>
      </w:tr>
    </w:tbl>
    <w:p w:rsidR="00A57BFD" w:rsidRDefault="005B0D19">
      <w:pPr>
        <w:rPr>
          <w:noProof/>
          <w:sz w:val="18"/>
        </w:rPr>
      </w:pPr>
      <w:r>
        <w:rPr>
          <w:noProof/>
          <w:sz w:val="18"/>
        </w:rPr>
        <w:t>Οι απαιτούμενες πιστώσεις για ανθρώπινους πόρους και άλλες δαπάνες διοικητικού χαρακτήρα θα καλυφθούν από τις πιστώσεις της ΓΔ που έχουν ήδη διατεθεί για τη διαχείριση της δράσης και/ή έχουν ανακατανεμηθεί στο εσωτερικό της ΓΔ και οι οποίες θα συμπληρωθούν, κατά περίπτωση, με πρόσθετα κονδύλια που ενδέχεται να χορηγηθούν στην αρμόδια για τη διαχείριση ΓΔ στο πλαίσιο της ετήσιας διαδικασίας κατανομής και λαμβανομένων υπόψη των υφιστάμενων δημοσιονομικών περιορισμών.</w:t>
      </w:r>
    </w:p>
    <w:p w:rsidR="00A57BFD" w:rsidRDefault="00A57BFD">
      <w:pPr>
        <w:rPr>
          <w:noProof/>
          <w:sz w:val="18"/>
        </w:rPr>
        <w:sectPr w:rsidR="00A57BFD" w:rsidSect="005B0D19">
          <w:headerReference w:type="default" r:id="rId24"/>
          <w:footerReference w:type="default" r:id="rId25"/>
          <w:headerReference w:type="first" r:id="rId26"/>
          <w:footerReference w:type="first" r:id="rId27"/>
          <w:pgSz w:w="11907" w:h="16840"/>
          <w:pgMar w:top="1134" w:right="1418" w:bottom="1134" w:left="1418" w:header="709" w:footer="709" w:gutter="0"/>
          <w:cols w:space="708"/>
          <w:docGrid w:linePitch="360"/>
        </w:sectPr>
      </w:pPr>
    </w:p>
    <w:p w:rsidR="00A57BFD" w:rsidRDefault="005B0D19">
      <w:pPr>
        <w:pStyle w:val="ManualHeading4"/>
        <w:rPr>
          <w:bCs/>
          <w:noProof/>
          <w:szCs w:val="24"/>
        </w:rPr>
      </w:pPr>
      <w:r>
        <w:lastRenderedPageBreak/>
        <w:t>3.2.2.1.</w:t>
      </w:r>
      <w:r>
        <w:tab/>
      </w:r>
      <w:r>
        <w:rPr>
          <w:noProof/>
        </w:rPr>
        <w:t>Εκτιμώμενες ανάγκες σε ανθρώπινους πόρους</w:t>
      </w:r>
    </w:p>
    <w:p w:rsidR="00A57BFD" w:rsidRDefault="005B0D19">
      <w:pPr>
        <w:pStyle w:val="ListDash1"/>
        <w:rPr>
          <w:noProof/>
        </w:rPr>
      </w:pPr>
      <w:r>
        <w:rPr>
          <w:noProof/>
        </w:rPr>
        <w:sym w:font="Wingdings" w:char="F0A8"/>
      </w:r>
      <w:r>
        <w:rPr>
          <w:noProof/>
        </w:rPr>
        <w:tab/>
        <w:t xml:space="preserve">Η πρόταση/πρωτοβουλία δεν συνεπάγεται τη χρησιμοποίηση ανθρώπινων πόρων </w:t>
      </w:r>
    </w:p>
    <w:p w:rsidR="00A57BFD" w:rsidRDefault="005B0D19">
      <w:pPr>
        <w:pStyle w:val="ListDash1"/>
        <w:rPr>
          <w:noProof/>
        </w:rPr>
      </w:pPr>
      <w:r>
        <w:rPr>
          <w:noProof/>
        </w:rPr>
        <w:sym w:font="Wingdings" w:char="F0FD"/>
      </w:r>
      <w:r>
        <w:rPr>
          <w:noProof/>
        </w:rPr>
        <w:tab/>
        <w:t>Η πρόταση/πρωτοβουλία συνεπάγεται τη χρησιμοποίηση ανθρώπινων πόρων, όπως εξηγείται κατωτέρω:</w:t>
      </w:r>
    </w:p>
    <w:p w:rsidR="00A57BFD" w:rsidRDefault="005B0D19">
      <w:pPr>
        <w:spacing w:after="60"/>
        <w:jc w:val="right"/>
        <w:rPr>
          <w:i/>
          <w:noProof/>
          <w:sz w:val="20"/>
        </w:rPr>
      </w:pPr>
      <w:r>
        <w:rPr>
          <w:i/>
          <w:noProof/>
          <w:sz w:val="20"/>
        </w:rPr>
        <w:t>Εκτίμηση η οποία πρέπει να εκφράζεται σε μονάδες ισοδυνάμων πλήρους απασχόλησης</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1561"/>
        <w:gridCol w:w="1565"/>
        <w:gridCol w:w="990"/>
        <w:gridCol w:w="1134"/>
        <w:gridCol w:w="990"/>
        <w:gridCol w:w="1134"/>
        <w:gridCol w:w="1132"/>
        <w:gridCol w:w="994"/>
        <w:gridCol w:w="1119"/>
      </w:tblGrid>
      <w:tr w:rsidR="00A57BFD">
        <w:trPr>
          <w:trHeight w:val="289"/>
        </w:trPr>
        <w:tc>
          <w:tcPr>
            <w:tcW w:w="1472" w:type="pct"/>
            <w:gridSpan w:val="2"/>
            <w:vAlign w:val="center"/>
          </w:tcPr>
          <w:p w:rsidR="00A57BFD" w:rsidRDefault="005B0D19">
            <w:pPr>
              <w:pStyle w:val="Text1"/>
              <w:spacing w:before="40" w:after="40"/>
              <w:ind w:left="0"/>
              <w:jc w:val="center"/>
              <w:rPr>
                <w:i/>
                <w:noProof/>
                <w:sz w:val="16"/>
                <w:szCs w:val="16"/>
              </w:rPr>
            </w:pPr>
            <w:r>
              <w:rPr>
                <w:b/>
                <w:noProof/>
                <w:sz w:val="16"/>
              </w:rPr>
              <w:t>Έτη</w:t>
            </w:r>
          </w:p>
        </w:tc>
        <w:tc>
          <w:tcPr>
            <w:tcW w:w="466" w:type="pct"/>
            <w:shd w:val="clear" w:color="auto" w:fill="auto"/>
            <w:vAlign w:val="center"/>
          </w:tcPr>
          <w:p w:rsidR="00A57BFD" w:rsidRDefault="005B0D19">
            <w:pPr>
              <w:spacing w:before="20" w:after="20"/>
              <w:jc w:val="center"/>
              <w:rPr>
                <w:b/>
                <w:noProof/>
                <w:sz w:val="16"/>
                <w:szCs w:val="16"/>
              </w:rPr>
            </w:pPr>
            <w:r>
              <w:rPr>
                <w:b/>
                <w:noProof/>
                <w:sz w:val="20"/>
              </w:rPr>
              <w:t>2021</w:t>
            </w:r>
          </w:p>
        </w:tc>
        <w:tc>
          <w:tcPr>
            <w:tcW w:w="534" w:type="pct"/>
            <w:shd w:val="clear" w:color="auto" w:fill="auto"/>
            <w:vAlign w:val="center"/>
          </w:tcPr>
          <w:p w:rsidR="00A57BFD" w:rsidRDefault="005B0D19">
            <w:pPr>
              <w:spacing w:before="20" w:after="20"/>
              <w:jc w:val="center"/>
              <w:rPr>
                <w:b/>
                <w:noProof/>
                <w:sz w:val="20"/>
              </w:rPr>
            </w:pPr>
            <w:r>
              <w:rPr>
                <w:b/>
                <w:noProof/>
                <w:sz w:val="20"/>
              </w:rPr>
              <w:t>2022</w:t>
            </w:r>
          </w:p>
        </w:tc>
        <w:tc>
          <w:tcPr>
            <w:tcW w:w="466" w:type="pct"/>
            <w:shd w:val="clear" w:color="auto" w:fill="auto"/>
            <w:vAlign w:val="center"/>
          </w:tcPr>
          <w:p w:rsidR="00A57BFD" w:rsidRDefault="005B0D19">
            <w:pPr>
              <w:spacing w:before="20" w:after="20"/>
              <w:jc w:val="center"/>
              <w:rPr>
                <w:b/>
                <w:noProof/>
                <w:sz w:val="20"/>
              </w:rPr>
            </w:pPr>
            <w:r>
              <w:rPr>
                <w:b/>
                <w:noProof/>
                <w:sz w:val="20"/>
              </w:rPr>
              <w:t>2023</w:t>
            </w:r>
          </w:p>
        </w:tc>
        <w:tc>
          <w:tcPr>
            <w:tcW w:w="534" w:type="pct"/>
            <w:shd w:val="clear" w:color="auto" w:fill="auto"/>
            <w:vAlign w:val="center"/>
          </w:tcPr>
          <w:p w:rsidR="00A57BFD" w:rsidRDefault="005B0D19">
            <w:pPr>
              <w:spacing w:before="20" w:after="20"/>
              <w:jc w:val="center"/>
              <w:rPr>
                <w:b/>
                <w:noProof/>
                <w:sz w:val="20"/>
              </w:rPr>
            </w:pPr>
            <w:r>
              <w:rPr>
                <w:b/>
                <w:noProof/>
                <w:sz w:val="20"/>
              </w:rPr>
              <w:t>2024</w:t>
            </w:r>
          </w:p>
        </w:tc>
        <w:tc>
          <w:tcPr>
            <w:tcW w:w="533" w:type="pct"/>
            <w:shd w:val="clear" w:color="auto" w:fill="auto"/>
            <w:vAlign w:val="center"/>
          </w:tcPr>
          <w:p w:rsidR="00A57BFD" w:rsidRDefault="005B0D19">
            <w:pPr>
              <w:jc w:val="center"/>
              <w:rPr>
                <w:b/>
                <w:noProof/>
                <w:sz w:val="20"/>
              </w:rPr>
            </w:pPr>
            <w:r>
              <w:rPr>
                <w:b/>
                <w:noProof/>
                <w:sz w:val="20"/>
              </w:rPr>
              <w:t>2025</w:t>
            </w:r>
          </w:p>
        </w:tc>
        <w:tc>
          <w:tcPr>
            <w:tcW w:w="468" w:type="pct"/>
            <w:shd w:val="clear" w:color="auto" w:fill="auto"/>
            <w:vAlign w:val="center"/>
          </w:tcPr>
          <w:p w:rsidR="00A57BFD" w:rsidRDefault="005B0D19">
            <w:pPr>
              <w:jc w:val="center"/>
              <w:rPr>
                <w:b/>
                <w:noProof/>
                <w:sz w:val="20"/>
              </w:rPr>
            </w:pPr>
            <w:r>
              <w:rPr>
                <w:b/>
                <w:noProof/>
                <w:sz w:val="20"/>
              </w:rPr>
              <w:t>2026</w:t>
            </w:r>
          </w:p>
        </w:tc>
        <w:tc>
          <w:tcPr>
            <w:tcW w:w="527" w:type="pct"/>
            <w:shd w:val="clear" w:color="auto" w:fill="auto"/>
            <w:vAlign w:val="center"/>
          </w:tcPr>
          <w:p w:rsidR="00A57BFD" w:rsidRDefault="005B0D19">
            <w:pPr>
              <w:jc w:val="center"/>
              <w:rPr>
                <w:b/>
                <w:noProof/>
                <w:sz w:val="20"/>
              </w:rPr>
            </w:pPr>
            <w:r>
              <w:rPr>
                <w:b/>
                <w:noProof/>
                <w:sz w:val="20"/>
              </w:rPr>
              <w:t>2027</w:t>
            </w:r>
          </w:p>
        </w:tc>
      </w:tr>
      <w:tr w:rsidR="00A57BFD">
        <w:trPr>
          <w:trHeight w:val="289"/>
        </w:trPr>
        <w:tc>
          <w:tcPr>
            <w:tcW w:w="5000" w:type="pct"/>
            <w:gridSpan w:val="9"/>
          </w:tcPr>
          <w:p w:rsidR="00A57BFD" w:rsidRDefault="005B0D19">
            <w:pPr>
              <w:jc w:val="left"/>
              <w:rPr>
                <w:noProof/>
                <w:sz w:val="16"/>
                <w:szCs w:val="16"/>
              </w:rPr>
            </w:pPr>
            <w:r>
              <w:rPr>
                <w:b/>
                <w:noProof/>
                <w:sz w:val="16"/>
              </w:rPr>
              <w:sym w:font="Wingdings" w:char="F09F"/>
            </w:r>
            <w:r>
              <w:rPr>
                <w:b/>
                <w:noProof/>
                <w:sz w:val="16"/>
              </w:rPr>
              <w:t xml:space="preserve"> Θέσεις απασχόλησης του πίνακα προσωπικού (θέσεις μόνιμων και έκτακτων υπαλλήλων)</w:t>
            </w:r>
          </w:p>
        </w:tc>
      </w:tr>
      <w:tr w:rsidR="00A57BFD">
        <w:trPr>
          <w:trHeight w:val="289"/>
        </w:trPr>
        <w:tc>
          <w:tcPr>
            <w:tcW w:w="1472" w:type="pct"/>
            <w:gridSpan w:val="2"/>
          </w:tcPr>
          <w:p w:rsidR="00A57BFD" w:rsidRDefault="005B0D19" w:rsidP="003B5748">
            <w:pPr>
              <w:pStyle w:val="Text1"/>
              <w:spacing w:beforeLines="20" w:afterLines="20"/>
              <w:ind w:left="134"/>
              <w:jc w:val="left"/>
              <w:rPr>
                <w:b/>
                <w:noProof/>
                <w:sz w:val="16"/>
                <w:szCs w:val="16"/>
              </w:rPr>
            </w:pPr>
            <w:r>
              <w:rPr>
                <w:noProof/>
                <w:sz w:val="16"/>
              </w:rPr>
              <w:t>Έδρα και αντιπροσωπείες της Επιτροπής</w:t>
            </w:r>
          </w:p>
        </w:tc>
        <w:tc>
          <w:tcPr>
            <w:tcW w:w="466" w:type="pct"/>
            <w:shd w:val="clear" w:color="auto" w:fill="auto"/>
            <w:vAlign w:val="center"/>
          </w:tcPr>
          <w:p w:rsidR="00A57BFD" w:rsidRDefault="005B0D19" w:rsidP="003B5748">
            <w:pPr>
              <w:spacing w:beforeLines="20" w:afterLines="20"/>
              <w:jc w:val="center"/>
              <w:rPr>
                <w:noProof/>
                <w:sz w:val="16"/>
                <w:szCs w:val="16"/>
              </w:rPr>
            </w:pPr>
            <w:r>
              <w:rPr>
                <w:noProof/>
                <w:sz w:val="16"/>
              </w:rPr>
              <w:t>845</w:t>
            </w:r>
          </w:p>
        </w:tc>
        <w:tc>
          <w:tcPr>
            <w:tcW w:w="534" w:type="pct"/>
            <w:shd w:val="clear" w:color="auto" w:fill="auto"/>
            <w:vAlign w:val="center"/>
          </w:tcPr>
          <w:p w:rsidR="00A57BFD" w:rsidRDefault="005B0D19" w:rsidP="003B5748">
            <w:pPr>
              <w:spacing w:beforeLines="20" w:afterLines="20"/>
              <w:jc w:val="center"/>
              <w:rPr>
                <w:noProof/>
                <w:sz w:val="16"/>
                <w:szCs w:val="16"/>
              </w:rPr>
            </w:pPr>
            <w:r>
              <w:rPr>
                <w:noProof/>
                <w:sz w:val="16"/>
              </w:rPr>
              <w:t>845</w:t>
            </w:r>
          </w:p>
        </w:tc>
        <w:tc>
          <w:tcPr>
            <w:tcW w:w="466" w:type="pct"/>
            <w:shd w:val="clear" w:color="auto" w:fill="auto"/>
            <w:vAlign w:val="center"/>
          </w:tcPr>
          <w:p w:rsidR="00A57BFD" w:rsidRDefault="005B0D19" w:rsidP="003B5748">
            <w:pPr>
              <w:spacing w:beforeLines="20" w:afterLines="20"/>
              <w:jc w:val="center"/>
              <w:rPr>
                <w:noProof/>
                <w:sz w:val="16"/>
                <w:szCs w:val="16"/>
              </w:rPr>
            </w:pPr>
            <w:r>
              <w:rPr>
                <w:noProof/>
                <w:sz w:val="16"/>
              </w:rPr>
              <w:t>845</w:t>
            </w:r>
          </w:p>
        </w:tc>
        <w:tc>
          <w:tcPr>
            <w:tcW w:w="534" w:type="pct"/>
            <w:shd w:val="clear" w:color="auto" w:fill="auto"/>
            <w:vAlign w:val="center"/>
          </w:tcPr>
          <w:p w:rsidR="00A57BFD" w:rsidRDefault="005B0D19" w:rsidP="003B5748">
            <w:pPr>
              <w:spacing w:beforeLines="20" w:afterLines="20"/>
              <w:jc w:val="center"/>
              <w:rPr>
                <w:noProof/>
                <w:sz w:val="16"/>
                <w:szCs w:val="16"/>
              </w:rPr>
            </w:pPr>
            <w:r>
              <w:rPr>
                <w:noProof/>
                <w:sz w:val="16"/>
              </w:rPr>
              <w:t>845</w:t>
            </w:r>
          </w:p>
        </w:tc>
        <w:tc>
          <w:tcPr>
            <w:tcW w:w="533" w:type="pct"/>
            <w:shd w:val="clear" w:color="auto" w:fill="auto"/>
            <w:vAlign w:val="center"/>
          </w:tcPr>
          <w:p w:rsidR="00A57BFD" w:rsidRDefault="005B0D19" w:rsidP="003B5748">
            <w:pPr>
              <w:spacing w:beforeLines="20" w:afterLines="20"/>
              <w:jc w:val="center"/>
              <w:rPr>
                <w:noProof/>
                <w:sz w:val="16"/>
                <w:szCs w:val="16"/>
              </w:rPr>
            </w:pPr>
            <w:r>
              <w:rPr>
                <w:noProof/>
                <w:sz w:val="16"/>
              </w:rPr>
              <w:t>845</w:t>
            </w:r>
          </w:p>
        </w:tc>
        <w:tc>
          <w:tcPr>
            <w:tcW w:w="468" w:type="pct"/>
            <w:shd w:val="clear" w:color="auto" w:fill="auto"/>
            <w:vAlign w:val="center"/>
          </w:tcPr>
          <w:p w:rsidR="00A57BFD" w:rsidRDefault="005B0D19" w:rsidP="003B5748">
            <w:pPr>
              <w:spacing w:beforeLines="20" w:afterLines="20"/>
              <w:jc w:val="center"/>
              <w:rPr>
                <w:noProof/>
                <w:sz w:val="16"/>
                <w:szCs w:val="16"/>
              </w:rPr>
            </w:pPr>
            <w:r>
              <w:rPr>
                <w:noProof/>
                <w:sz w:val="16"/>
              </w:rPr>
              <w:t>845</w:t>
            </w:r>
          </w:p>
        </w:tc>
        <w:tc>
          <w:tcPr>
            <w:tcW w:w="527" w:type="pct"/>
            <w:shd w:val="clear" w:color="auto" w:fill="auto"/>
            <w:vAlign w:val="center"/>
          </w:tcPr>
          <w:p w:rsidR="00A57BFD" w:rsidRDefault="005B0D19" w:rsidP="003B5748">
            <w:pPr>
              <w:spacing w:beforeLines="20" w:afterLines="20"/>
              <w:jc w:val="center"/>
              <w:rPr>
                <w:noProof/>
                <w:sz w:val="16"/>
                <w:szCs w:val="16"/>
              </w:rPr>
            </w:pPr>
            <w:r>
              <w:rPr>
                <w:noProof/>
                <w:sz w:val="16"/>
              </w:rPr>
              <w:t>845</w:t>
            </w:r>
          </w:p>
        </w:tc>
      </w:tr>
      <w:tr w:rsidR="00A57BFD">
        <w:trPr>
          <w:trHeight w:val="289"/>
        </w:trPr>
        <w:tc>
          <w:tcPr>
            <w:tcW w:w="1472" w:type="pct"/>
            <w:gridSpan w:val="2"/>
          </w:tcPr>
          <w:p w:rsidR="00A57BFD" w:rsidRDefault="005B0D19" w:rsidP="003B5748">
            <w:pPr>
              <w:pStyle w:val="Text1"/>
              <w:spacing w:beforeLines="20" w:afterLines="20"/>
              <w:ind w:left="134"/>
              <w:jc w:val="left"/>
              <w:rPr>
                <w:noProof/>
                <w:sz w:val="16"/>
                <w:szCs w:val="16"/>
              </w:rPr>
            </w:pPr>
            <w:r>
              <w:rPr>
                <w:noProof/>
                <w:sz w:val="16"/>
              </w:rPr>
              <w:t>Αντιπροσωπείες της ΕΕ</w:t>
            </w:r>
          </w:p>
        </w:tc>
        <w:tc>
          <w:tcPr>
            <w:tcW w:w="466" w:type="pct"/>
            <w:shd w:val="clear" w:color="auto" w:fill="auto"/>
            <w:vAlign w:val="center"/>
          </w:tcPr>
          <w:p w:rsidR="00A57BFD" w:rsidRDefault="005B0D19" w:rsidP="003B5748">
            <w:pPr>
              <w:spacing w:beforeLines="20" w:afterLines="20"/>
              <w:jc w:val="center"/>
              <w:rPr>
                <w:noProof/>
                <w:sz w:val="16"/>
                <w:szCs w:val="16"/>
              </w:rPr>
            </w:pPr>
            <w:r>
              <w:rPr>
                <w:noProof/>
                <w:sz w:val="16"/>
              </w:rPr>
              <w:t>3</w:t>
            </w:r>
          </w:p>
        </w:tc>
        <w:tc>
          <w:tcPr>
            <w:tcW w:w="534" w:type="pct"/>
            <w:shd w:val="clear" w:color="auto" w:fill="auto"/>
            <w:vAlign w:val="center"/>
          </w:tcPr>
          <w:p w:rsidR="00A57BFD" w:rsidRDefault="005B0D19" w:rsidP="003B5748">
            <w:pPr>
              <w:spacing w:beforeLines="20" w:afterLines="20"/>
              <w:jc w:val="center"/>
              <w:rPr>
                <w:noProof/>
                <w:sz w:val="16"/>
                <w:szCs w:val="16"/>
              </w:rPr>
            </w:pPr>
            <w:r>
              <w:rPr>
                <w:noProof/>
                <w:sz w:val="16"/>
              </w:rPr>
              <w:t>3</w:t>
            </w:r>
          </w:p>
        </w:tc>
        <w:tc>
          <w:tcPr>
            <w:tcW w:w="466" w:type="pct"/>
            <w:shd w:val="clear" w:color="auto" w:fill="auto"/>
            <w:vAlign w:val="center"/>
          </w:tcPr>
          <w:p w:rsidR="00A57BFD" w:rsidRDefault="005B0D19" w:rsidP="003B5748">
            <w:pPr>
              <w:spacing w:beforeLines="20" w:afterLines="20"/>
              <w:jc w:val="center"/>
              <w:rPr>
                <w:noProof/>
                <w:sz w:val="16"/>
                <w:szCs w:val="16"/>
              </w:rPr>
            </w:pPr>
            <w:r>
              <w:rPr>
                <w:noProof/>
                <w:sz w:val="16"/>
              </w:rPr>
              <w:t>3</w:t>
            </w:r>
          </w:p>
        </w:tc>
        <w:tc>
          <w:tcPr>
            <w:tcW w:w="534" w:type="pct"/>
            <w:shd w:val="clear" w:color="auto" w:fill="auto"/>
            <w:vAlign w:val="center"/>
          </w:tcPr>
          <w:p w:rsidR="00A57BFD" w:rsidRDefault="005B0D19" w:rsidP="003B5748">
            <w:pPr>
              <w:spacing w:beforeLines="20" w:afterLines="20"/>
              <w:jc w:val="center"/>
              <w:rPr>
                <w:noProof/>
                <w:sz w:val="16"/>
                <w:szCs w:val="16"/>
              </w:rPr>
            </w:pPr>
            <w:r>
              <w:rPr>
                <w:noProof/>
                <w:sz w:val="16"/>
              </w:rPr>
              <w:t>3</w:t>
            </w:r>
          </w:p>
        </w:tc>
        <w:tc>
          <w:tcPr>
            <w:tcW w:w="533" w:type="pct"/>
            <w:shd w:val="clear" w:color="auto" w:fill="auto"/>
            <w:vAlign w:val="center"/>
          </w:tcPr>
          <w:p w:rsidR="00A57BFD" w:rsidRDefault="005B0D19" w:rsidP="003B5748">
            <w:pPr>
              <w:spacing w:beforeLines="20" w:afterLines="20"/>
              <w:jc w:val="center"/>
              <w:rPr>
                <w:noProof/>
                <w:sz w:val="16"/>
                <w:szCs w:val="16"/>
              </w:rPr>
            </w:pPr>
            <w:r>
              <w:rPr>
                <w:noProof/>
                <w:sz w:val="16"/>
              </w:rPr>
              <w:t>3</w:t>
            </w:r>
          </w:p>
        </w:tc>
        <w:tc>
          <w:tcPr>
            <w:tcW w:w="468" w:type="pct"/>
            <w:shd w:val="clear" w:color="auto" w:fill="auto"/>
            <w:vAlign w:val="center"/>
          </w:tcPr>
          <w:p w:rsidR="00A57BFD" w:rsidRDefault="005B0D19" w:rsidP="003B5748">
            <w:pPr>
              <w:spacing w:beforeLines="20" w:afterLines="20"/>
              <w:jc w:val="center"/>
              <w:rPr>
                <w:noProof/>
                <w:sz w:val="16"/>
                <w:szCs w:val="16"/>
              </w:rPr>
            </w:pPr>
            <w:r>
              <w:rPr>
                <w:noProof/>
                <w:sz w:val="16"/>
              </w:rPr>
              <w:t>3</w:t>
            </w:r>
          </w:p>
        </w:tc>
        <w:tc>
          <w:tcPr>
            <w:tcW w:w="527" w:type="pct"/>
            <w:shd w:val="clear" w:color="auto" w:fill="auto"/>
            <w:vAlign w:val="center"/>
          </w:tcPr>
          <w:p w:rsidR="00A57BFD" w:rsidRDefault="005B0D19" w:rsidP="003B5748">
            <w:pPr>
              <w:spacing w:beforeLines="20" w:afterLines="20"/>
              <w:jc w:val="center"/>
              <w:rPr>
                <w:noProof/>
                <w:sz w:val="16"/>
                <w:szCs w:val="16"/>
              </w:rPr>
            </w:pPr>
            <w:r>
              <w:rPr>
                <w:noProof/>
                <w:sz w:val="16"/>
              </w:rPr>
              <w:t>3</w:t>
            </w:r>
          </w:p>
        </w:tc>
      </w:tr>
      <w:tr w:rsidR="00A57BFD">
        <w:trPr>
          <w:trHeight w:val="289"/>
        </w:trPr>
        <w:tc>
          <w:tcPr>
            <w:tcW w:w="1472" w:type="pct"/>
            <w:gridSpan w:val="2"/>
          </w:tcPr>
          <w:p w:rsidR="00A57BFD" w:rsidRDefault="005B0D19" w:rsidP="003B5748">
            <w:pPr>
              <w:pStyle w:val="Text1"/>
              <w:spacing w:beforeLines="20" w:afterLines="20"/>
              <w:ind w:left="134"/>
              <w:jc w:val="left"/>
              <w:rPr>
                <w:noProof/>
                <w:sz w:val="16"/>
                <w:szCs w:val="16"/>
              </w:rPr>
            </w:pPr>
            <w:r>
              <w:rPr>
                <w:noProof/>
                <w:sz w:val="16"/>
              </w:rPr>
              <w:t>Έρευνα</w:t>
            </w:r>
          </w:p>
        </w:tc>
        <w:tc>
          <w:tcPr>
            <w:tcW w:w="466" w:type="pct"/>
            <w:shd w:val="clear" w:color="auto" w:fill="auto"/>
            <w:vAlign w:val="center"/>
          </w:tcPr>
          <w:p w:rsidR="00A57BFD" w:rsidRDefault="00A57BFD" w:rsidP="003B5748">
            <w:pPr>
              <w:spacing w:beforeLines="20" w:afterLines="20"/>
              <w:jc w:val="center"/>
              <w:rPr>
                <w:noProof/>
                <w:sz w:val="16"/>
                <w:szCs w:val="16"/>
              </w:rPr>
            </w:pPr>
          </w:p>
        </w:tc>
        <w:tc>
          <w:tcPr>
            <w:tcW w:w="534" w:type="pct"/>
            <w:shd w:val="clear" w:color="auto" w:fill="auto"/>
            <w:vAlign w:val="center"/>
          </w:tcPr>
          <w:p w:rsidR="00A57BFD" w:rsidRDefault="00A57BFD" w:rsidP="003B5748">
            <w:pPr>
              <w:spacing w:beforeLines="20" w:afterLines="20"/>
              <w:jc w:val="center"/>
              <w:rPr>
                <w:noProof/>
                <w:sz w:val="16"/>
                <w:szCs w:val="16"/>
              </w:rPr>
            </w:pPr>
          </w:p>
        </w:tc>
        <w:tc>
          <w:tcPr>
            <w:tcW w:w="466" w:type="pct"/>
            <w:shd w:val="clear" w:color="auto" w:fill="auto"/>
            <w:vAlign w:val="center"/>
          </w:tcPr>
          <w:p w:rsidR="00A57BFD" w:rsidRDefault="00A57BFD" w:rsidP="003B5748">
            <w:pPr>
              <w:spacing w:beforeLines="20" w:afterLines="20"/>
              <w:jc w:val="center"/>
              <w:rPr>
                <w:noProof/>
                <w:sz w:val="16"/>
                <w:szCs w:val="16"/>
              </w:rPr>
            </w:pPr>
          </w:p>
        </w:tc>
        <w:tc>
          <w:tcPr>
            <w:tcW w:w="534" w:type="pct"/>
            <w:shd w:val="clear" w:color="auto" w:fill="auto"/>
            <w:vAlign w:val="center"/>
          </w:tcPr>
          <w:p w:rsidR="00A57BFD" w:rsidRDefault="00A57BFD" w:rsidP="003B5748">
            <w:pPr>
              <w:spacing w:beforeLines="20" w:afterLines="20"/>
              <w:jc w:val="center"/>
              <w:rPr>
                <w:noProof/>
                <w:sz w:val="16"/>
                <w:szCs w:val="16"/>
              </w:rPr>
            </w:pPr>
          </w:p>
        </w:tc>
        <w:tc>
          <w:tcPr>
            <w:tcW w:w="533" w:type="pct"/>
            <w:shd w:val="clear" w:color="auto" w:fill="auto"/>
            <w:vAlign w:val="center"/>
          </w:tcPr>
          <w:p w:rsidR="00A57BFD" w:rsidRDefault="00A57BFD" w:rsidP="003B5748">
            <w:pPr>
              <w:spacing w:beforeLines="20" w:afterLines="20"/>
              <w:jc w:val="center"/>
              <w:rPr>
                <w:noProof/>
                <w:sz w:val="16"/>
                <w:szCs w:val="16"/>
              </w:rPr>
            </w:pPr>
          </w:p>
        </w:tc>
        <w:tc>
          <w:tcPr>
            <w:tcW w:w="468" w:type="pct"/>
            <w:shd w:val="clear" w:color="auto" w:fill="auto"/>
            <w:vAlign w:val="center"/>
          </w:tcPr>
          <w:p w:rsidR="00A57BFD" w:rsidRDefault="00A57BFD" w:rsidP="003B5748">
            <w:pPr>
              <w:spacing w:beforeLines="20" w:afterLines="20"/>
              <w:jc w:val="center"/>
              <w:rPr>
                <w:noProof/>
                <w:sz w:val="16"/>
                <w:szCs w:val="16"/>
              </w:rPr>
            </w:pPr>
          </w:p>
        </w:tc>
        <w:tc>
          <w:tcPr>
            <w:tcW w:w="527" w:type="pct"/>
            <w:shd w:val="clear" w:color="auto" w:fill="auto"/>
            <w:vAlign w:val="center"/>
          </w:tcPr>
          <w:p w:rsidR="00A57BFD" w:rsidRDefault="00A57BFD" w:rsidP="003B5748">
            <w:pPr>
              <w:spacing w:beforeLines="20" w:afterLines="20"/>
              <w:jc w:val="center"/>
              <w:rPr>
                <w:noProof/>
                <w:sz w:val="16"/>
                <w:szCs w:val="16"/>
              </w:rPr>
            </w:pPr>
          </w:p>
        </w:tc>
      </w:tr>
      <w:tr w:rsidR="00A57BFD">
        <w:trPr>
          <w:trHeight w:val="293"/>
        </w:trPr>
        <w:tc>
          <w:tcPr>
            <w:tcW w:w="5000" w:type="pct"/>
            <w:gridSpan w:val="9"/>
          </w:tcPr>
          <w:p w:rsidR="00A57BFD" w:rsidRDefault="005B0D19">
            <w:pPr>
              <w:pStyle w:val="Text1"/>
              <w:spacing w:before="60" w:after="60"/>
              <w:ind w:left="0"/>
              <w:jc w:val="left"/>
              <w:rPr>
                <w:b/>
                <w:noProof/>
                <w:sz w:val="16"/>
                <w:szCs w:val="16"/>
              </w:rPr>
            </w:pPr>
            <w:r>
              <w:rPr>
                <w:b/>
                <w:noProof/>
                <w:sz w:val="16"/>
              </w:rPr>
              <w:sym w:font="Wingdings" w:char="F09F"/>
            </w:r>
            <w:r>
              <w:rPr>
                <w:b/>
                <w:noProof/>
                <w:sz w:val="16"/>
              </w:rPr>
              <w:t xml:space="preserve"> Εξωτερικό προσωπικό (σε μονάδα ισοδυνάμου πλήρους απασχόλησης: ΠΑ) — AC, AL, END, INT και JPD</w:t>
            </w:r>
            <w:r>
              <w:rPr>
                <w:noProof/>
                <w:sz w:val="16"/>
              </w:rPr>
              <w:t xml:space="preserve"> </w:t>
            </w:r>
            <w:r>
              <w:rPr>
                <w:rStyle w:val="af7"/>
                <w:noProof/>
                <w:sz w:val="16"/>
              </w:rPr>
              <w:footnoteReference w:id="51"/>
            </w:r>
          </w:p>
          <w:p w:rsidR="00A57BFD" w:rsidRDefault="005B0D19">
            <w:pPr>
              <w:pStyle w:val="Text1"/>
              <w:spacing w:before="0" w:after="0"/>
              <w:ind w:left="0"/>
              <w:jc w:val="left"/>
              <w:rPr>
                <w:noProof/>
                <w:sz w:val="16"/>
                <w:szCs w:val="16"/>
              </w:rPr>
            </w:pPr>
            <w:r>
              <w:rPr>
                <w:noProof/>
                <w:sz w:val="16"/>
              </w:rPr>
              <w:t>Τομέας 7</w:t>
            </w:r>
          </w:p>
        </w:tc>
      </w:tr>
      <w:tr w:rsidR="00A57BFD">
        <w:trPr>
          <w:trHeight w:val="485"/>
        </w:trPr>
        <w:tc>
          <w:tcPr>
            <w:tcW w:w="735" w:type="pct"/>
            <w:vMerge w:val="restart"/>
            <w:vAlign w:val="center"/>
          </w:tcPr>
          <w:p w:rsidR="00A57BFD" w:rsidRDefault="005B0D19" w:rsidP="003B5748">
            <w:pPr>
              <w:pStyle w:val="Text1"/>
              <w:spacing w:beforeLines="20" w:afterLines="20"/>
              <w:ind w:left="136"/>
              <w:jc w:val="left"/>
              <w:rPr>
                <w:b/>
                <w:noProof/>
                <w:sz w:val="16"/>
                <w:szCs w:val="16"/>
              </w:rPr>
            </w:pPr>
            <w:r>
              <w:rPr>
                <w:noProof/>
                <w:sz w:val="16"/>
              </w:rPr>
              <w:t>Χρηματοδοτούμενο από τον ΤΟΜΕΑ 7 του πολυετούς δημοσιονομικού πλαισίου</w:t>
            </w:r>
            <w:r>
              <w:rPr>
                <w:b/>
                <w:noProof/>
                <w:sz w:val="16"/>
              </w:rPr>
              <w:t xml:space="preserve"> </w:t>
            </w:r>
          </w:p>
        </w:tc>
        <w:tc>
          <w:tcPr>
            <w:tcW w:w="737" w:type="pct"/>
            <w:vAlign w:val="center"/>
          </w:tcPr>
          <w:p w:rsidR="00A57BFD" w:rsidRDefault="005B0D19" w:rsidP="003B5748">
            <w:pPr>
              <w:pStyle w:val="Text1"/>
              <w:spacing w:beforeLines="20" w:afterLines="20"/>
              <w:ind w:left="136"/>
              <w:jc w:val="left"/>
              <w:rPr>
                <w:b/>
                <w:noProof/>
                <w:sz w:val="16"/>
                <w:szCs w:val="16"/>
              </w:rPr>
            </w:pPr>
            <w:r>
              <w:rPr>
                <w:noProof/>
                <w:sz w:val="16"/>
              </w:rPr>
              <w:t>- στην έδρα</w:t>
            </w:r>
          </w:p>
        </w:tc>
        <w:tc>
          <w:tcPr>
            <w:tcW w:w="466" w:type="pct"/>
            <w:shd w:val="clear" w:color="auto" w:fill="auto"/>
            <w:vAlign w:val="center"/>
          </w:tcPr>
          <w:p w:rsidR="00A57BFD" w:rsidRDefault="005B0D19" w:rsidP="003B5748">
            <w:pPr>
              <w:spacing w:beforeLines="20" w:afterLines="20"/>
              <w:jc w:val="center"/>
              <w:rPr>
                <w:noProof/>
                <w:sz w:val="16"/>
                <w:szCs w:val="16"/>
              </w:rPr>
            </w:pPr>
            <w:r>
              <w:rPr>
                <w:noProof/>
                <w:sz w:val="16"/>
              </w:rPr>
              <w:t>57,75</w:t>
            </w:r>
          </w:p>
        </w:tc>
        <w:tc>
          <w:tcPr>
            <w:tcW w:w="534" w:type="pct"/>
            <w:shd w:val="clear" w:color="auto" w:fill="auto"/>
            <w:vAlign w:val="center"/>
          </w:tcPr>
          <w:p w:rsidR="00A57BFD" w:rsidRDefault="005B0D19" w:rsidP="003B5748">
            <w:pPr>
              <w:spacing w:beforeLines="20" w:afterLines="20"/>
              <w:jc w:val="center"/>
              <w:rPr>
                <w:noProof/>
                <w:sz w:val="16"/>
                <w:szCs w:val="16"/>
              </w:rPr>
            </w:pPr>
            <w:r>
              <w:rPr>
                <w:noProof/>
                <w:sz w:val="16"/>
              </w:rPr>
              <w:t>57,75</w:t>
            </w:r>
          </w:p>
        </w:tc>
        <w:tc>
          <w:tcPr>
            <w:tcW w:w="466" w:type="pct"/>
            <w:shd w:val="clear" w:color="auto" w:fill="auto"/>
            <w:vAlign w:val="center"/>
          </w:tcPr>
          <w:p w:rsidR="00A57BFD" w:rsidRDefault="005B0D19" w:rsidP="003B5748">
            <w:pPr>
              <w:spacing w:beforeLines="20" w:afterLines="20"/>
              <w:jc w:val="center"/>
              <w:rPr>
                <w:noProof/>
                <w:sz w:val="16"/>
                <w:szCs w:val="16"/>
              </w:rPr>
            </w:pPr>
            <w:r>
              <w:rPr>
                <w:noProof/>
                <w:sz w:val="16"/>
              </w:rPr>
              <w:t>57,75</w:t>
            </w:r>
          </w:p>
        </w:tc>
        <w:tc>
          <w:tcPr>
            <w:tcW w:w="534" w:type="pct"/>
            <w:shd w:val="clear" w:color="auto" w:fill="auto"/>
            <w:vAlign w:val="center"/>
          </w:tcPr>
          <w:p w:rsidR="00A57BFD" w:rsidRDefault="005B0D19" w:rsidP="003B5748">
            <w:pPr>
              <w:spacing w:beforeLines="20" w:afterLines="20"/>
              <w:jc w:val="center"/>
              <w:rPr>
                <w:noProof/>
                <w:sz w:val="16"/>
                <w:szCs w:val="16"/>
              </w:rPr>
            </w:pPr>
            <w:r>
              <w:rPr>
                <w:noProof/>
                <w:sz w:val="16"/>
              </w:rPr>
              <w:t>57,75</w:t>
            </w:r>
          </w:p>
        </w:tc>
        <w:tc>
          <w:tcPr>
            <w:tcW w:w="533" w:type="pct"/>
            <w:shd w:val="clear" w:color="auto" w:fill="auto"/>
            <w:vAlign w:val="center"/>
          </w:tcPr>
          <w:p w:rsidR="00A57BFD" w:rsidRDefault="005B0D19" w:rsidP="003B5748">
            <w:pPr>
              <w:spacing w:beforeLines="20" w:afterLines="20"/>
              <w:jc w:val="center"/>
              <w:rPr>
                <w:noProof/>
                <w:sz w:val="16"/>
                <w:szCs w:val="16"/>
              </w:rPr>
            </w:pPr>
            <w:r>
              <w:rPr>
                <w:noProof/>
                <w:sz w:val="16"/>
              </w:rPr>
              <w:t>57,75</w:t>
            </w:r>
          </w:p>
        </w:tc>
        <w:tc>
          <w:tcPr>
            <w:tcW w:w="468" w:type="pct"/>
            <w:shd w:val="clear" w:color="auto" w:fill="auto"/>
            <w:vAlign w:val="center"/>
          </w:tcPr>
          <w:p w:rsidR="00A57BFD" w:rsidRDefault="005B0D19" w:rsidP="003B5748">
            <w:pPr>
              <w:spacing w:beforeLines="20" w:afterLines="20"/>
              <w:jc w:val="center"/>
              <w:rPr>
                <w:noProof/>
                <w:sz w:val="16"/>
                <w:szCs w:val="16"/>
              </w:rPr>
            </w:pPr>
            <w:r>
              <w:rPr>
                <w:noProof/>
                <w:sz w:val="16"/>
              </w:rPr>
              <w:t>57,75</w:t>
            </w:r>
          </w:p>
        </w:tc>
        <w:tc>
          <w:tcPr>
            <w:tcW w:w="527" w:type="pct"/>
            <w:shd w:val="clear" w:color="auto" w:fill="auto"/>
            <w:vAlign w:val="center"/>
          </w:tcPr>
          <w:p w:rsidR="00A57BFD" w:rsidRDefault="005B0D19" w:rsidP="003B5748">
            <w:pPr>
              <w:spacing w:beforeLines="20" w:afterLines="20"/>
              <w:jc w:val="center"/>
              <w:rPr>
                <w:noProof/>
                <w:sz w:val="16"/>
                <w:szCs w:val="16"/>
              </w:rPr>
            </w:pPr>
            <w:r>
              <w:rPr>
                <w:noProof/>
                <w:sz w:val="16"/>
              </w:rPr>
              <w:t>57,75</w:t>
            </w:r>
          </w:p>
        </w:tc>
      </w:tr>
      <w:tr w:rsidR="00A57BFD">
        <w:trPr>
          <w:trHeight w:val="289"/>
        </w:trPr>
        <w:tc>
          <w:tcPr>
            <w:tcW w:w="735" w:type="pct"/>
            <w:vMerge/>
            <w:vAlign w:val="center"/>
          </w:tcPr>
          <w:p w:rsidR="00A57BFD" w:rsidRDefault="00A57BFD" w:rsidP="003B5748">
            <w:pPr>
              <w:pStyle w:val="Text1"/>
              <w:spacing w:beforeLines="20" w:afterLines="20"/>
              <w:ind w:left="136"/>
              <w:jc w:val="left"/>
              <w:rPr>
                <w:noProof/>
                <w:sz w:val="16"/>
                <w:szCs w:val="16"/>
              </w:rPr>
            </w:pPr>
          </w:p>
        </w:tc>
        <w:tc>
          <w:tcPr>
            <w:tcW w:w="737" w:type="pct"/>
            <w:vAlign w:val="center"/>
          </w:tcPr>
          <w:p w:rsidR="00A57BFD" w:rsidRDefault="005B0D19" w:rsidP="003B5748">
            <w:pPr>
              <w:pStyle w:val="Text1"/>
              <w:spacing w:beforeLines="20" w:afterLines="20"/>
              <w:ind w:left="136"/>
              <w:jc w:val="left"/>
              <w:rPr>
                <w:noProof/>
                <w:sz w:val="16"/>
                <w:szCs w:val="16"/>
              </w:rPr>
            </w:pPr>
            <w:r>
              <w:rPr>
                <w:noProof/>
                <w:sz w:val="16"/>
              </w:rPr>
              <w:t xml:space="preserve">- σε αντιπροσωπείες </w:t>
            </w:r>
          </w:p>
        </w:tc>
        <w:tc>
          <w:tcPr>
            <w:tcW w:w="466" w:type="pct"/>
            <w:shd w:val="clear" w:color="auto" w:fill="auto"/>
            <w:vAlign w:val="center"/>
          </w:tcPr>
          <w:p w:rsidR="00A57BFD" w:rsidRDefault="005B0D19" w:rsidP="003B5748">
            <w:pPr>
              <w:spacing w:beforeLines="20" w:afterLines="20"/>
              <w:jc w:val="center"/>
              <w:rPr>
                <w:noProof/>
                <w:sz w:val="16"/>
                <w:szCs w:val="16"/>
              </w:rPr>
            </w:pPr>
            <w:r>
              <w:rPr>
                <w:noProof/>
                <w:sz w:val="16"/>
              </w:rPr>
              <w:t>1</w:t>
            </w:r>
          </w:p>
        </w:tc>
        <w:tc>
          <w:tcPr>
            <w:tcW w:w="534" w:type="pct"/>
            <w:shd w:val="clear" w:color="auto" w:fill="auto"/>
            <w:vAlign w:val="center"/>
          </w:tcPr>
          <w:p w:rsidR="00A57BFD" w:rsidRDefault="005B0D19" w:rsidP="003B5748">
            <w:pPr>
              <w:spacing w:beforeLines="20" w:afterLines="20"/>
              <w:jc w:val="center"/>
              <w:rPr>
                <w:noProof/>
                <w:sz w:val="16"/>
                <w:szCs w:val="16"/>
              </w:rPr>
            </w:pPr>
            <w:r>
              <w:rPr>
                <w:noProof/>
                <w:sz w:val="16"/>
              </w:rPr>
              <w:t>1</w:t>
            </w:r>
          </w:p>
        </w:tc>
        <w:tc>
          <w:tcPr>
            <w:tcW w:w="466" w:type="pct"/>
            <w:shd w:val="clear" w:color="auto" w:fill="auto"/>
            <w:vAlign w:val="center"/>
          </w:tcPr>
          <w:p w:rsidR="00A57BFD" w:rsidRDefault="005B0D19" w:rsidP="003B5748">
            <w:pPr>
              <w:spacing w:beforeLines="20" w:afterLines="20"/>
              <w:jc w:val="center"/>
              <w:rPr>
                <w:noProof/>
                <w:sz w:val="16"/>
                <w:szCs w:val="16"/>
              </w:rPr>
            </w:pPr>
            <w:r>
              <w:rPr>
                <w:noProof/>
                <w:sz w:val="16"/>
              </w:rPr>
              <w:t>1</w:t>
            </w:r>
          </w:p>
        </w:tc>
        <w:tc>
          <w:tcPr>
            <w:tcW w:w="534" w:type="pct"/>
            <w:shd w:val="clear" w:color="auto" w:fill="auto"/>
            <w:vAlign w:val="center"/>
          </w:tcPr>
          <w:p w:rsidR="00A57BFD" w:rsidRDefault="005B0D19" w:rsidP="003B5748">
            <w:pPr>
              <w:spacing w:beforeLines="20" w:afterLines="20"/>
              <w:jc w:val="center"/>
              <w:rPr>
                <w:noProof/>
                <w:sz w:val="16"/>
                <w:szCs w:val="16"/>
              </w:rPr>
            </w:pPr>
            <w:r>
              <w:rPr>
                <w:noProof/>
                <w:sz w:val="16"/>
              </w:rPr>
              <w:t>1</w:t>
            </w:r>
          </w:p>
        </w:tc>
        <w:tc>
          <w:tcPr>
            <w:tcW w:w="533" w:type="pct"/>
            <w:shd w:val="clear" w:color="auto" w:fill="auto"/>
            <w:vAlign w:val="center"/>
          </w:tcPr>
          <w:p w:rsidR="00A57BFD" w:rsidRDefault="005B0D19" w:rsidP="003B5748">
            <w:pPr>
              <w:spacing w:beforeLines="20" w:afterLines="20"/>
              <w:jc w:val="center"/>
              <w:rPr>
                <w:noProof/>
                <w:sz w:val="16"/>
                <w:szCs w:val="16"/>
              </w:rPr>
            </w:pPr>
            <w:r>
              <w:rPr>
                <w:noProof/>
                <w:sz w:val="16"/>
              </w:rPr>
              <w:t>1</w:t>
            </w:r>
          </w:p>
        </w:tc>
        <w:tc>
          <w:tcPr>
            <w:tcW w:w="468" w:type="pct"/>
            <w:shd w:val="clear" w:color="auto" w:fill="auto"/>
            <w:vAlign w:val="center"/>
          </w:tcPr>
          <w:p w:rsidR="00A57BFD" w:rsidRDefault="005B0D19" w:rsidP="003B5748">
            <w:pPr>
              <w:spacing w:beforeLines="20" w:afterLines="20"/>
              <w:jc w:val="center"/>
              <w:rPr>
                <w:noProof/>
                <w:sz w:val="16"/>
                <w:szCs w:val="16"/>
              </w:rPr>
            </w:pPr>
            <w:r>
              <w:rPr>
                <w:noProof/>
                <w:sz w:val="16"/>
              </w:rPr>
              <w:t>1</w:t>
            </w:r>
          </w:p>
        </w:tc>
        <w:tc>
          <w:tcPr>
            <w:tcW w:w="527" w:type="pct"/>
            <w:shd w:val="clear" w:color="auto" w:fill="auto"/>
            <w:vAlign w:val="center"/>
          </w:tcPr>
          <w:p w:rsidR="00A57BFD" w:rsidRDefault="005B0D19" w:rsidP="003B5748">
            <w:pPr>
              <w:spacing w:beforeLines="20" w:afterLines="20"/>
              <w:jc w:val="center"/>
              <w:rPr>
                <w:noProof/>
                <w:sz w:val="16"/>
                <w:szCs w:val="16"/>
              </w:rPr>
            </w:pPr>
            <w:r>
              <w:rPr>
                <w:noProof/>
                <w:sz w:val="16"/>
              </w:rPr>
              <w:t>1</w:t>
            </w:r>
          </w:p>
        </w:tc>
      </w:tr>
      <w:tr w:rsidR="00A57BFD">
        <w:trPr>
          <w:trHeight w:val="370"/>
        </w:trPr>
        <w:tc>
          <w:tcPr>
            <w:tcW w:w="735" w:type="pct"/>
            <w:vMerge w:val="restart"/>
            <w:vAlign w:val="center"/>
          </w:tcPr>
          <w:p w:rsidR="00A57BFD" w:rsidRDefault="005B0D19" w:rsidP="003B5748">
            <w:pPr>
              <w:pStyle w:val="Text1"/>
              <w:spacing w:beforeLines="20" w:afterLines="20"/>
              <w:ind w:left="136"/>
              <w:jc w:val="left"/>
              <w:rPr>
                <w:b/>
                <w:noProof/>
                <w:sz w:val="16"/>
                <w:szCs w:val="16"/>
              </w:rPr>
            </w:pPr>
            <w:r>
              <w:rPr>
                <w:noProof/>
                <w:sz w:val="16"/>
              </w:rPr>
              <w:t>Χρηματοδοτούμενο από το κονδύλιο του προγράμματος</w:t>
            </w:r>
            <w:r>
              <w:rPr>
                <w:b/>
                <w:noProof/>
                <w:sz w:val="16"/>
              </w:rPr>
              <w:t xml:space="preserve"> </w:t>
            </w:r>
            <w:r>
              <w:rPr>
                <w:rStyle w:val="af7"/>
                <w:b/>
                <w:noProof/>
                <w:sz w:val="16"/>
              </w:rPr>
              <w:footnoteReference w:id="52"/>
            </w:r>
          </w:p>
        </w:tc>
        <w:tc>
          <w:tcPr>
            <w:tcW w:w="737" w:type="pct"/>
            <w:shd w:val="clear" w:color="auto" w:fill="auto"/>
            <w:vAlign w:val="center"/>
          </w:tcPr>
          <w:p w:rsidR="00A57BFD" w:rsidRDefault="005B0D19" w:rsidP="003B5748">
            <w:pPr>
              <w:pStyle w:val="Text1"/>
              <w:spacing w:beforeLines="20" w:afterLines="20"/>
              <w:ind w:left="136"/>
              <w:jc w:val="left"/>
              <w:rPr>
                <w:b/>
                <w:noProof/>
                <w:sz w:val="16"/>
                <w:szCs w:val="16"/>
              </w:rPr>
            </w:pPr>
            <w:r>
              <w:rPr>
                <w:noProof/>
                <w:sz w:val="16"/>
              </w:rPr>
              <w:t>- στην έδρα</w:t>
            </w:r>
          </w:p>
        </w:tc>
        <w:tc>
          <w:tcPr>
            <w:tcW w:w="466" w:type="pct"/>
            <w:shd w:val="clear" w:color="auto" w:fill="auto"/>
            <w:vAlign w:val="center"/>
          </w:tcPr>
          <w:p w:rsidR="00A57BFD" w:rsidRDefault="005B0D19" w:rsidP="003B5748">
            <w:pPr>
              <w:pStyle w:val="Text1"/>
              <w:spacing w:beforeLines="20" w:afterLines="20"/>
              <w:ind w:left="0"/>
              <w:jc w:val="center"/>
              <w:rPr>
                <w:noProof/>
                <w:sz w:val="16"/>
                <w:szCs w:val="16"/>
              </w:rPr>
            </w:pPr>
            <w:r>
              <w:rPr>
                <w:noProof/>
                <w:sz w:val="16"/>
              </w:rPr>
              <w:t>29</w:t>
            </w:r>
          </w:p>
        </w:tc>
        <w:tc>
          <w:tcPr>
            <w:tcW w:w="534" w:type="pct"/>
            <w:shd w:val="clear" w:color="auto" w:fill="auto"/>
            <w:vAlign w:val="center"/>
          </w:tcPr>
          <w:p w:rsidR="00A57BFD" w:rsidRDefault="005B0D19" w:rsidP="003B5748">
            <w:pPr>
              <w:spacing w:beforeLines="20" w:afterLines="20"/>
              <w:jc w:val="center"/>
              <w:rPr>
                <w:noProof/>
                <w:sz w:val="16"/>
                <w:szCs w:val="16"/>
              </w:rPr>
            </w:pPr>
            <w:r>
              <w:rPr>
                <w:noProof/>
                <w:sz w:val="16"/>
              </w:rPr>
              <w:t>29</w:t>
            </w:r>
          </w:p>
        </w:tc>
        <w:tc>
          <w:tcPr>
            <w:tcW w:w="466" w:type="pct"/>
            <w:shd w:val="clear" w:color="auto" w:fill="auto"/>
            <w:vAlign w:val="center"/>
          </w:tcPr>
          <w:p w:rsidR="00A57BFD" w:rsidRDefault="005B0D19" w:rsidP="003B5748">
            <w:pPr>
              <w:spacing w:beforeLines="20" w:afterLines="20"/>
              <w:jc w:val="center"/>
              <w:rPr>
                <w:noProof/>
                <w:sz w:val="16"/>
                <w:szCs w:val="16"/>
              </w:rPr>
            </w:pPr>
            <w:r>
              <w:rPr>
                <w:noProof/>
                <w:sz w:val="16"/>
              </w:rPr>
              <w:t>29</w:t>
            </w:r>
          </w:p>
        </w:tc>
        <w:tc>
          <w:tcPr>
            <w:tcW w:w="534" w:type="pct"/>
            <w:shd w:val="clear" w:color="auto" w:fill="auto"/>
            <w:vAlign w:val="center"/>
          </w:tcPr>
          <w:p w:rsidR="00A57BFD" w:rsidRDefault="005B0D19" w:rsidP="003B5748">
            <w:pPr>
              <w:spacing w:beforeLines="20" w:afterLines="20"/>
              <w:jc w:val="center"/>
              <w:rPr>
                <w:noProof/>
                <w:sz w:val="16"/>
                <w:szCs w:val="16"/>
              </w:rPr>
            </w:pPr>
            <w:r>
              <w:rPr>
                <w:noProof/>
                <w:sz w:val="16"/>
              </w:rPr>
              <w:t>29</w:t>
            </w:r>
          </w:p>
        </w:tc>
        <w:tc>
          <w:tcPr>
            <w:tcW w:w="533" w:type="pct"/>
            <w:shd w:val="clear" w:color="auto" w:fill="auto"/>
            <w:vAlign w:val="center"/>
          </w:tcPr>
          <w:p w:rsidR="00A57BFD" w:rsidRDefault="005B0D19" w:rsidP="003B5748">
            <w:pPr>
              <w:spacing w:beforeLines="20" w:afterLines="20"/>
              <w:jc w:val="center"/>
              <w:rPr>
                <w:noProof/>
                <w:sz w:val="16"/>
                <w:szCs w:val="16"/>
              </w:rPr>
            </w:pPr>
            <w:r>
              <w:rPr>
                <w:noProof/>
                <w:sz w:val="16"/>
              </w:rPr>
              <w:t>29</w:t>
            </w:r>
          </w:p>
        </w:tc>
        <w:tc>
          <w:tcPr>
            <w:tcW w:w="468" w:type="pct"/>
            <w:shd w:val="clear" w:color="auto" w:fill="auto"/>
            <w:vAlign w:val="center"/>
          </w:tcPr>
          <w:p w:rsidR="00A57BFD" w:rsidRDefault="005B0D19" w:rsidP="003B5748">
            <w:pPr>
              <w:spacing w:beforeLines="20" w:afterLines="20"/>
              <w:jc w:val="center"/>
              <w:rPr>
                <w:noProof/>
                <w:sz w:val="16"/>
                <w:szCs w:val="16"/>
              </w:rPr>
            </w:pPr>
            <w:r>
              <w:rPr>
                <w:noProof/>
                <w:sz w:val="16"/>
              </w:rPr>
              <w:t>29</w:t>
            </w:r>
          </w:p>
        </w:tc>
        <w:tc>
          <w:tcPr>
            <w:tcW w:w="527" w:type="pct"/>
            <w:shd w:val="clear" w:color="auto" w:fill="auto"/>
            <w:vAlign w:val="center"/>
          </w:tcPr>
          <w:p w:rsidR="00A57BFD" w:rsidRDefault="005B0D19" w:rsidP="003B5748">
            <w:pPr>
              <w:spacing w:beforeLines="20" w:afterLines="20"/>
              <w:jc w:val="center"/>
              <w:rPr>
                <w:noProof/>
                <w:sz w:val="16"/>
                <w:szCs w:val="16"/>
              </w:rPr>
            </w:pPr>
            <w:r>
              <w:rPr>
                <w:noProof/>
                <w:sz w:val="16"/>
              </w:rPr>
              <w:t>29</w:t>
            </w:r>
          </w:p>
        </w:tc>
      </w:tr>
      <w:tr w:rsidR="00A57BFD">
        <w:trPr>
          <w:trHeight w:val="289"/>
        </w:trPr>
        <w:tc>
          <w:tcPr>
            <w:tcW w:w="735" w:type="pct"/>
            <w:vMerge/>
          </w:tcPr>
          <w:p w:rsidR="00A57BFD" w:rsidRDefault="00A57BFD" w:rsidP="003B5748">
            <w:pPr>
              <w:pStyle w:val="Text1"/>
              <w:spacing w:beforeLines="20" w:afterLines="20"/>
              <w:ind w:left="136"/>
              <w:jc w:val="left"/>
              <w:rPr>
                <w:b/>
                <w:noProof/>
                <w:sz w:val="16"/>
                <w:szCs w:val="16"/>
              </w:rPr>
            </w:pPr>
          </w:p>
        </w:tc>
        <w:tc>
          <w:tcPr>
            <w:tcW w:w="737" w:type="pct"/>
            <w:shd w:val="clear" w:color="auto" w:fill="auto"/>
            <w:vAlign w:val="center"/>
          </w:tcPr>
          <w:p w:rsidR="00A57BFD" w:rsidRDefault="005B0D19" w:rsidP="003B5748">
            <w:pPr>
              <w:pStyle w:val="Text1"/>
              <w:spacing w:beforeLines="20" w:afterLines="20"/>
              <w:ind w:left="136"/>
              <w:jc w:val="left"/>
              <w:rPr>
                <w:b/>
                <w:noProof/>
                <w:sz w:val="16"/>
                <w:szCs w:val="16"/>
              </w:rPr>
            </w:pPr>
            <w:r>
              <w:rPr>
                <w:noProof/>
                <w:sz w:val="16"/>
              </w:rPr>
              <w:t xml:space="preserve">- σε αντιπροσωπείες </w:t>
            </w:r>
          </w:p>
        </w:tc>
        <w:tc>
          <w:tcPr>
            <w:tcW w:w="466" w:type="pct"/>
            <w:shd w:val="clear" w:color="auto" w:fill="auto"/>
            <w:vAlign w:val="center"/>
          </w:tcPr>
          <w:p w:rsidR="00A57BFD" w:rsidRDefault="00A57BFD" w:rsidP="003B5748">
            <w:pPr>
              <w:pStyle w:val="Text1"/>
              <w:spacing w:beforeLines="20" w:afterLines="20"/>
              <w:ind w:left="0"/>
              <w:jc w:val="center"/>
              <w:rPr>
                <w:noProof/>
                <w:sz w:val="16"/>
                <w:szCs w:val="16"/>
              </w:rPr>
            </w:pPr>
          </w:p>
        </w:tc>
        <w:tc>
          <w:tcPr>
            <w:tcW w:w="534" w:type="pct"/>
            <w:shd w:val="clear" w:color="auto" w:fill="auto"/>
            <w:vAlign w:val="center"/>
          </w:tcPr>
          <w:p w:rsidR="00A57BFD" w:rsidRDefault="00A57BFD" w:rsidP="003B5748">
            <w:pPr>
              <w:spacing w:beforeLines="20" w:afterLines="20"/>
              <w:jc w:val="center"/>
              <w:rPr>
                <w:noProof/>
                <w:sz w:val="16"/>
                <w:szCs w:val="16"/>
              </w:rPr>
            </w:pPr>
          </w:p>
        </w:tc>
        <w:tc>
          <w:tcPr>
            <w:tcW w:w="466" w:type="pct"/>
            <w:shd w:val="clear" w:color="auto" w:fill="auto"/>
            <w:vAlign w:val="center"/>
          </w:tcPr>
          <w:p w:rsidR="00A57BFD" w:rsidRDefault="00A57BFD" w:rsidP="003B5748">
            <w:pPr>
              <w:spacing w:beforeLines="20" w:afterLines="20"/>
              <w:jc w:val="center"/>
              <w:rPr>
                <w:noProof/>
                <w:sz w:val="16"/>
                <w:szCs w:val="16"/>
              </w:rPr>
            </w:pPr>
          </w:p>
        </w:tc>
        <w:tc>
          <w:tcPr>
            <w:tcW w:w="534" w:type="pct"/>
            <w:shd w:val="clear" w:color="auto" w:fill="auto"/>
            <w:vAlign w:val="center"/>
          </w:tcPr>
          <w:p w:rsidR="00A57BFD" w:rsidRDefault="00A57BFD" w:rsidP="003B5748">
            <w:pPr>
              <w:spacing w:beforeLines="20" w:afterLines="20"/>
              <w:jc w:val="center"/>
              <w:rPr>
                <w:noProof/>
                <w:sz w:val="16"/>
                <w:szCs w:val="16"/>
              </w:rPr>
            </w:pPr>
          </w:p>
        </w:tc>
        <w:tc>
          <w:tcPr>
            <w:tcW w:w="533" w:type="pct"/>
            <w:shd w:val="clear" w:color="auto" w:fill="auto"/>
            <w:vAlign w:val="center"/>
          </w:tcPr>
          <w:p w:rsidR="00A57BFD" w:rsidRDefault="00A57BFD" w:rsidP="003B5748">
            <w:pPr>
              <w:spacing w:beforeLines="20" w:afterLines="20"/>
              <w:jc w:val="center"/>
              <w:rPr>
                <w:noProof/>
                <w:sz w:val="16"/>
                <w:szCs w:val="16"/>
              </w:rPr>
            </w:pPr>
          </w:p>
        </w:tc>
        <w:tc>
          <w:tcPr>
            <w:tcW w:w="468" w:type="pct"/>
            <w:shd w:val="clear" w:color="auto" w:fill="auto"/>
            <w:vAlign w:val="center"/>
          </w:tcPr>
          <w:p w:rsidR="00A57BFD" w:rsidRDefault="00A57BFD" w:rsidP="003B5748">
            <w:pPr>
              <w:spacing w:beforeLines="20" w:afterLines="20"/>
              <w:jc w:val="center"/>
              <w:rPr>
                <w:noProof/>
                <w:sz w:val="16"/>
                <w:szCs w:val="16"/>
              </w:rPr>
            </w:pPr>
          </w:p>
        </w:tc>
        <w:tc>
          <w:tcPr>
            <w:tcW w:w="527" w:type="pct"/>
            <w:shd w:val="clear" w:color="auto" w:fill="auto"/>
            <w:vAlign w:val="center"/>
          </w:tcPr>
          <w:p w:rsidR="00A57BFD" w:rsidRDefault="00A57BFD" w:rsidP="003B5748">
            <w:pPr>
              <w:spacing w:beforeLines="20" w:afterLines="20"/>
              <w:jc w:val="center"/>
              <w:rPr>
                <w:noProof/>
                <w:sz w:val="16"/>
                <w:szCs w:val="16"/>
              </w:rPr>
            </w:pPr>
          </w:p>
        </w:tc>
      </w:tr>
      <w:tr w:rsidR="00A57BFD">
        <w:trPr>
          <w:trHeight w:val="289"/>
        </w:trPr>
        <w:tc>
          <w:tcPr>
            <w:tcW w:w="1472" w:type="pct"/>
            <w:gridSpan w:val="2"/>
          </w:tcPr>
          <w:p w:rsidR="00A57BFD" w:rsidRDefault="005B0D19" w:rsidP="003B5748">
            <w:pPr>
              <w:pStyle w:val="Text1"/>
              <w:spacing w:beforeLines="20" w:afterLines="20"/>
              <w:ind w:left="136"/>
              <w:jc w:val="left"/>
              <w:rPr>
                <w:noProof/>
                <w:sz w:val="16"/>
                <w:szCs w:val="16"/>
              </w:rPr>
            </w:pPr>
            <w:r>
              <w:rPr>
                <w:noProof/>
                <w:sz w:val="16"/>
              </w:rPr>
              <w:t>Έρευνα</w:t>
            </w:r>
          </w:p>
        </w:tc>
        <w:tc>
          <w:tcPr>
            <w:tcW w:w="466" w:type="pct"/>
            <w:shd w:val="clear" w:color="auto" w:fill="auto"/>
            <w:vAlign w:val="center"/>
          </w:tcPr>
          <w:p w:rsidR="00A57BFD" w:rsidRDefault="00A57BFD" w:rsidP="003B5748">
            <w:pPr>
              <w:spacing w:beforeLines="20" w:afterLines="20"/>
              <w:jc w:val="center"/>
              <w:rPr>
                <w:noProof/>
                <w:sz w:val="16"/>
                <w:szCs w:val="16"/>
              </w:rPr>
            </w:pPr>
          </w:p>
        </w:tc>
        <w:tc>
          <w:tcPr>
            <w:tcW w:w="534" w:type="pct"/>
            <w:shd w:val="clear" w:color="auto" w:fill="auto"/>
            <w:vAlign w:val="center"/>
          </w:tcPr>
          <w:p w:rsidR="00A57BFD" w:rsidRDefault="00A57BFD" w:rsidP="003B5748">
            <w:pPr>
              <w:spacing w:beforeLines="20" w:afterLines="20"/>
              <w:jc w:val="center"/>
              <w:rPr>
                <w:noProof/>
                <w:sz w:val="16"/>
                <w:szCs w:val="16"/>
              </w:rPr>
            </w:pPr>
          </w:p>
        </w:tc>
        <w:tc>
          <w:tcPr>
            <w:tcW w:w="466" w:type="pct"/>
            <w:shd w:val="clear" w:color="auto" w:fill="auto"/>
            <w:vAlign w:val="center"/>
          </w:tcPr>
          <w:p w:rsidR="00A57BFD" w:rsidRDefault="00A57BFD" w:rsidP="003B5748">
            <w:pPr>
              <w:spacing w:beforeLines="20" w:afterLines="20"/>
              <w:jc w:val="center"/>
              <w:rPr>
                <w:noProof/>
                <w:sz w:val="16"/>
                <w:szCs w:val="16"/>
              </w:rPr>
            </w:pPr>
          </w:p>
        </w:tc>
        <w:tc>
          <w:tcPr>
            <w:tcW w:w="534" w:type="pct"/>
            <w:shd w:val="clear" w:color="auto" w:fill="auto"/>
            <w:vAlign w:val="center"/>
          </w:tcPr>
          <w:p w:rsidR="00A57BFD" w:rsidRDefault="00A57BFD" w:rsidP="003B5748">
            <w:pPr>
              <w:spacing w:beforeLines="20" w:afterLines="20"/>
              <w:jc w:val="center"/>
              <w:rPr>
                <w:noProof/>
                <w:sz w:val="16"/>
                <w:szCs w:val="16"/>
              </w:rPr>
            </w:pPr>
          </w:p>
        </w:tc>
        <w:tc>
          <w:tcPr>
            <w:tcW w:w="533" w:type="pct"/>
            <w:shd w:val="clear" w:color="auto" w:fill="auto"/>
            <w:vAlign w:val="center"/>
          </w:tcPr>
          <w:p w:rsidR="00A57BFD" w:rsidRDefault="00A57BFD" w:rsidP="003B5748">
            <w:pPr>
              <w:spacing w:beforeLines="20" w:afterLines="20"/>
              <w:jc w:val="center"/>
              <w:rPr>
                <w:noProof/>
                <w:sz w:val="16"/>
                <w:szCs w:val="16"/>
              </w:rPr>
            </w:pPr>
          </w:p>
        </w:tc>
        <w:tc>
          <w:tcPr>
            <w:tcW w:w="468" w:type="pct"/>
            <w:shd w:val="clear" w:color="auto" w:fill="auto"/>
            <w:vAlign w:val="center"/>
          </w:tcPr>
          <w:p w:rsidR="00A57BFD" w:rsidRDefault="00A57BFD" w:rsidP="003B5748">
            <w:pPr>
              <w:spacing w:beforeLines="20" w:afterLines="20"/>
              <w:jc w:val="center"/>
              <w:rPr>
                <w:noProof/>
                <w:sz w:val="16"/>
                <w:szCs w:val="16"/>
              </w:rPr>
            </w:pPr>
          </w:p>
        </w:tc>
        <w:tc>
          <w:tcPr>
            <w:tcW w:w="527" w:type="pct"/>
            <w:shd w:val="clear" w:color="auto" w:fill="auto"/>
            <w:vAlign w:val="center"/>
          </w:tcPr>
          <w:p w:rsidR="00A57BFD" w:rsidRDefault="00A57BFD" w:rsidP="003B5748">
            <w:pPr>
              <w:spacing w:beforeLines="20" w:afterLines="20"/>
              <w:jc w:val="center"/>
              <w:rPr>
                <w:noProof/>
                <w:sz w:val="16"/>
                <w:szCs w:val="16"/>
              </w:rPr>
            </w:pPr>
          </w:p>
        </w:tc>
      </w:tr>
      <w:tr w:rsidR="00A57BFD">
        <w:trPr>
          <w:trHeight w:val="289"/>
        </w:trPr>
        <w:tc>
          <w:tcPr>
            <w:tcW w:w="1472" w:type="pct"/>
            <w:gridSpan w:val="2"/>
            <w:tcBorders>
              <w:bottom w:val="double" w:sz="4" w:space="0" w:color="auto"/>
            </w:tcBorders>
          </w:tcPr>
          <w:p w:rsidR="00A57BFD" w:rsidRDefault="005B0D19" w:rsidP="003B5748">
            <w:pPr>
              <w:pStyle w:val="Text1"/>
              <w:spacing w:beforeLines="20" w:afterLines="20"/>
              <w:ind w:left="134"/>
              <w:jc w:val="left"/>
              <w:rPr>
                <w:noProof/>
                <w:sz w:val="16"/>
                <w:szCs w:val="16"/>
              </w:rPr>
            </w:pPr>
            <w:r>
              <w:rPr>
                <w:noProof/>
                <w:sz w:val="16"/>
              </w:rPr>
              <w:t>Άλλα (να προσδιοριστούν)</w:t>
            </w:r>
          </w:p>
        </w:tc>
        <w:tc>
          <w:tcPr>
            <w:tcW w:w="466" w:type="pct"/>
            <w:tcBorders>
              <w:bottom w:val="double" w:sz="4" w:space="0" w:color="auto"/>
            </w:tcBorders>
            <w:shd w:val="clear" w:color="auto" w:fill="auto"/>
            <w:vAlign w:val="center"/>
          </w:tcPr>
          <w:p w:rsidR="00A57BFD" w:rsidRDefault="00A57BFD" w:rsidP="003B5748">
            <w:pPr>
              <w:spacing w:beforeLines="20" w:afterLines="20"/>
              <w:jc w:val="center"/>
              <w:rPr>
                <w:noProof/>
                <w:sz w:val="16"/>
                <w:szCs w:val="16"/>
              </w:rPr>
            </w:pPr>
          </w:p>
        </w:tc>
        <w:tc>
          <w:tcPr>
            <w:tcW w:w="534" w:type="pct"/>
            <w:tcBorders>
              <w:bottom w:val="double" w:sz="4" w:space="0" w:color="auto"/>
            </w:tcBorders>
            <w:shd w:val="clear" w:color="auto" w:fill="auto"/>
            <w:vAlign w:val="center"/>
          </w:tcPr>
          <w:p w:rsidR="00A57BFD" w:rsidRDefault="00A57BFD" w:rsidP="003B5748">
            <w:pPr>
              <w:spacing w:beforeLines="20" w:afterLines="20"/>
              <w:jc w:val="center"/>
              <w:rPr>
                <w:noProof/>
                <w:sz w:val="16"/>
                <w:szCs w:val="16"/>
              </w:rPr>
            </w:pPr>
          </w:p>
        </w:tc>
        <w:tc>
          <w:tcPr>
            <w:tcW w:w="466" w:type="pct"/>
            <w:tcBorders>
              <w:bottom w:val="double" w:sz="4" w:space="0" w:color="auto"/>
            </w:tcBorders>
            <w:shd w:val="clear" w:color="auto" w:fill="auto"/>
            <w:vAlign w:val="center"/>
          </w:tcPr>
          <w:p w:rsidR="00A57BFD" w:rsidRDefault="00A57BFD" w:rsidP="003B5748">
            <w:pPr>
              <w:spacing w:beforeLines="20" w:afterLines="20"/>
              <w:jc w:val="center"/>
              <w:rPr>
                <w:noProof/>
                <w:sz w:val="16"/>
                <w:szCs w:val="16"/>
              </w:rPr>
            </w:pPr>
          </w:p>
        </w:tc>
        <w:tc>
          <w:tcPr>
            <w:tcW w:w="534" w:type="pct"/>
            <w:tcBorders>
              <w:bottom w:val="double" w:sz="4" w:space="0" w:color="auto"/>
            </w:tcBorders>
            <w:shd w:val="clear" w:color="auto" w:fill="auto"/>
            <w:vAlign w:val="center"/>
          </w:tcPr>
          <w:p w:rsidR="00A57BFD" w:rsidRDefault="00A57BFD" w:rsidP="003B5748">
            <w:pPr>
              <w:spacing w:beforeLines="20" w:afterLines="20"/>
              <w:jc w:val="center"/>
              <w:rPr>
                <w:noProof/>
                <w:sz w:val="16"/>
                <w:szCs w:val="16"/>
              </w:rPr>
            </w:pPr>
          </w:p>
        </w:tc>
        <w:tc>
          <w:tcPr>
            <w:tcW w:w="533" w:type="pct"/>
            <w:tcBorders>
              <w:bottom w:val="double" w:sz="4" w:space="0" w:color="auto"/>
            </w:tcBorders>
            <w:shd w:val="clear" w:color="auto" w:fill="auto"/>
            <w:vAlign w:val="center"/>
          </w:tcPr>
          <w:p w:rsidR="00A57BFD" w:rsidRDefault="00A57BFD" w:rsidP="003B5748">
            <w:pPr>
              <w:spacing w:beforeLines="20" w:afterLines="20"/>
              <w:jc w:val="center"/>
              <w:rPr>
                <w:noProof/>
                <w:sz w:val="16"/>
                <w:szCs w:val="16"/>
              </w:rPr>
            </w:pPr>
          </w:p>
        </w:tc>
        <w:tc>
          <w:tcPr>
            <w:tcW w:w="468" w:type="pct"/>
            <w:tcBorders>
              <w:bottom w:val="double" w:sz="4" w:space="0" w:color="auto"/>
            </w:tcBorders>
            <w:shd w:val="clear" w:color="auto" w:fill="auto"/>
            <w:vAlign w:val="center"/>
          </w:tcPr>
          <w:p w:rsidR="00A57BFD" w:rsidRDefault="00A57BFD" w:rsidP="003B5748">
            <w:pPr>
              <w:spacing w:beforeLines="20" w:afterLines="20"/>
              <w:jc w:val="center"/>
              <w:rPr>
                <w:noProof/>
                <w:sz w:val="16"/>
                <w:szCs w:val="16"/>
              </w:rPr>
            </w:pPr>
          </w:p>
        </w:tc>
        <w:tc>
          <w:tcPr>
            <w:tcW w:w="527" w:type="pct"/>
            <w:tcBorders>
              <w:bottom w:val="double" w:sz="4" w:space="0" w:color="auto"/>
            </w:tcBorders>
            <w:shd w:val="clear" w:color="auto" w:fill="auto"/>
            <w:vAlign w:val="center"/>
          </w:tcPr>
          <w:p w:rsidR="00A57BFD" w:rsidRDefault="00A57BFD" w:rsidP="003B5748">
            <w:pPr>
              <w:spacing w:beforeLines="20" w:afterLines="20"/>
              <w:jc w:val="center"/>
              <w:rPr>
                <w:noProof/>
                <w:sz w:val="16"/>
                <w:szCs w:val="16"/>
              </w:rPr>
            </w:pPr>
          </w:p>
        </w:tc>
      </w:tr>
      <w:tr w:rsidR="00A57BFD">
        <w:trPr>
          <w:trHeight w:val="289"/>
        </w:trPr>
        <w:tc>
          <w:tcPr>
            <w:tcW w:w="1472" w:type="pct"/>
            <w:gridSpan w:val="2"/>
            <w:tcBorders>
              <w:top w:val="double" w:sz="4" w:space="0" w:color="auto"/>
            </w:tcBorders>
          </w:tcPr>
          <w:p w:rsidR="00A57BFD" w:rsidRDefault="005B0D19" w:rsidP="003B5748">
            <w:pPr>
              <w:pStyle w:val="Text1"/>
              <w:spacing w:beforeLines="20" w:afterLines="20"/>
              <w:ind w:left="136"/>
              <w:jc w:val="left"/>
              <w:rPr>
                <w:noProof/>
                <w:sz w:val="16"/>
                <w:szCs w:val="16"/>
              </w:rPr>
            </w:pPr>
            <w:r>
              <w:rPr>
                <w:b/>
                <w:noProof/>
                <w:sz w:val="16"/>
              </w:rPr>
              <w:t>ΣΥΝΟΛΟ</w:t>
            </w:r>
          </w:p>
        </w:tc>
        <w:tc>
          <w:tcPr>
            <w:tcW w:w="466" w:type="pct"/>
            <w:tcBorders>
              <w:top w:val="double" w:sz="4" w:space="0" w:color="auto"/>
            </w:tcBorders>
            <w:shd w:val="clear" w:color="auto" w:fill="auto"/>
          </w:tcPr>
          <w:p w:rsidR="00A57BFD" w:rsidRDefault="005B0D19" w:rsidP="003B5748">
            <w:pPr>
              <w:spacing w:beforeLines="20" w:afterLines="20"/>
              <w:jc w:val="center"/>
              <w:rPr>
                <w:b/>
                <w:noProof/>
                <w:sz w:val="16"/>
                <w:szCs w:val="16"/>
              </w:rPr>
            </w:pPr>
            <w:r>
              <w:rPr>
                <w:b/>
                <w:noProof/>
                <w:sz w:val="16"/>
              </w:rPr>
              <w:t>935,75</w:t>
            </w:r>
          </w:p>
        </w:tc>
        <w:tc>
          <w:tcPr>
            <w:tcW w:w="534" w:type="pct"/>
            <w:tcBorders>
              <w:top w:val="double" w:sz="4" w:space="0" w:color="auto"/>
            </w:tcBorders>
            <w:shd w:val="clear" w:color="auto" w:fill="auto"/>
          </w:tcPr>
          <w:p w:rsidR="00A57BFD" w:rsidRDefault="005B0D19" w:rsidP="003B5748">
            <w:pPr>
              <w:spacing w:beforeLines="20" w:afterLines="20"/>
              <w:jc w:val="center"/>
              <w:rPr>
                <w:b/>
                <w:noProof/>
                <w:sz w:val="16"/>
                <w:szCs w:val="16"/>
              </w:rPr>
            </w:pPr>
            <w:r>
              <w:rPr>
                <w:b/>
                <w:noProof/>
                <w:sz w:val="16"/>
              </w:rPr>
              <w:t>935,75</w:t>
            </w:r>
          </w:p>
        </w:tc>
        <w:tc>
          <w:tcPr>
            <w:tcW w:w="466" w:type="pct"/>
            <w:tcBorders>
              <w:top w:val="double" w:sz="4" w:space="0" w:color="auto"/>
            </w:tcBorders>
            <w:shd w:val="clear" w:color="auto" w:fill="auto"/>
          </w:tcPr>
          <w:p w:rsidR="00A57BFD" w:rsidRDefault="005B0D19" w:rsidP="003B5748">
            <w:pPr>
              <w:spacing w:beforeLines="20" w:afterLines="20"/>
              <w:jc w:val="center"/>
              <w:rPr>
                <w:b/>
                <w:noProof/>
                <w:sz w:val="16"/>
                <w:szCs w:val="16"/>
              </w:rPr>
            </w:pPr>
            <w:r>
              <w:rPr>
                <w:b/>
                <w:noProof/>
                <w:sz w:val="16"/>
              </w:rPr>
              <w:t>935,75</w:t>
            </w:r>
          </w:p>
        </w:tc>
        <w:tc>
          <w:tcPr>
            <w:tcW w:w="534" w:type="pct"/>
            <w:tcBorders>
              <w:top w:val="double" w:sz="4" w:space="0" w:color="auto"/>
            </w:tcBorders>
            <w:shd w:val="clear" w:color="auto" w:fill="auto"/>
          </w:tcPr>
          <w:p w:rsidR="00A57BFD" w:rsidRDefault="005B0D19" w:rsidP="003B5748">
            <w:pPr>
              <w:spacing w:beforeLines="20" w:afterLines="20"/>
              <w:jc w:val="center"/>
              <w:rPr>
                <w:b/>
                <w:noProof/>
                <w:sz w:val="16"/>
                <w:szCs w:val="16"/>
              </w:rPr>
            </w:pPr>
            <w:r>
              <w:rPr>
                <w:b/>
                <w:noProof/>
                <w:sz w:val="16"/>
              </w:rPr>
              <w:t>935,75</w:t>
            </w:r>
          </w:p>
        </w:tc>
        <w:tc>
          <w:tcPr>
            <w:tcW w:w="533" w:type="pct"/>
            <w:tcBorders>
              <w:top w:val="double" w:sz="4" w:space="0" w:color="auto"/>
            </w:tcBorders>
            <w:shd w:val="clear" w:color="auto" w:fill="auto"/>
          </w:tcPr>
          <w:p w:rsidR="00A57BFD" w:rsidRDefault="005B0D19" w:rsidP="003B5748">
            <w:pPr>
              <w:spacing w:beforeLines="20" w:afterLines="20"/>
              <w:jc w:val="center"/>
              <w:rPr>
                <w:b/>
                <w:noProof/>
                <w:sz w:val="16"/>
                <w:szCs w:val="16"/>
              </w:rPr>
            </w:pPr>
            <w:r>
              <w:rPr>
                <w:b/>
                <w:noProof/>
                <w:sz w:val="16"/>
              </w:rPr>
              <w:t>935,75</w:t>
            </w:r>
          </w:p>
        </w:tc>
        <w:tc>
          <w:tcPr>
            <w:tcW w:w="468" w:type="pct"/>
            <w:tcBorders>
              <w:top w:val="double" w:sz="4" w:space="0" w:color="auto"/>
            </w:tcBorders>
            <w:shd w:val="clear" w:color="auto" w:fill="auto"/>
          </w:tcPr>
          <w:p w:rsidR="00A57BFD" w:rsidRDefault="005B0D19" w:rsidP="003B5748">
            <w:pPr>
              <w:spacing w:beforeLines="20" w:afterLines="20"/>
              <w:jc w:val="center"/>
              <w:rPr>
                <w:b/>
                <w:noProof/>
                <w:sz w:val="16"/>
                <w:szCs w:val="16"/>
              </w:rPr>
            </w:pPr>
            <w:r>
              <w:rPr>
                <w:b/>
                <w:noProof/>
                <w:sz w:val="16"/>
              </w:rPr>
              <w:t>935,75</w:t>
            </w:r>
          </w:p>
        </w:tc>
        <w:tc>
          <w:tcPr>
            <w:tcW w:w="527" w:type="pct"/>
            <w:tcBorders>
              <w:top w:val="double" w:sz="4" w:space="0" w:color="auto"/>
            </w:tcBorders>
            <w:shd w:val="clear" w:color="auto" w:fill="auto"/>
          </w:tcPr>
          <w:p w:rsidR="00A57BFD" w:rsidRDefault="005B0D19" w:rsidP="003B5748">
            <w:pPr>
              <w:spacing w:beforeLines="20" w:afterLines="20"/>
              <w:jc w:val="center"/>
              <w:rPr>
                <w:b/>
                <w:noProof/>
                <w:sz w:val="16"/>
                <w:szCs w:val="16"/>
              </w:rPr>
            </w:pPr>
            <w:r>
              <w:rPr>
                <w:b/>
                <w:noProof/>
                <w:sz w:val="16"/>
              </w:rPr>
              <w:t>935,75</w:t>
            </w:r>
          </w:p>
        </w:tc>
      </w:tr>
    </w:tbl>
    <w:p w:rsidR="00A57BFD" w:rsidRDefault="005B0D19">
      <w:pPr>
        <w:pStyle w:val="Text1"/>
        <w:ind w:left="0"/>
        <w:rPr>
          <w:noProof/>
          <w:sz w:val="18"/>
          <w:szCs w:val="18"/>
        </w:rPr>
      </w:pPr>
      <w:r>
        <w:rPr>
          <w:noProof/>
          <w:sz w:val="18"/>
        </w:rPr>
        <w:t>Οι ανάγκες σε ανθρώπινους πόρους θα καλυφθούν από το προσωπικό της ΓΔ που έχει ήδη διατεθεί για τη διαχείριση της δράσης και/ή έχει ανακατανεμηθεί στο εσωτερικό της ΓΔ και το οποίο θα συμπληρωθεί, εάν χρειαστεί, από πρόσθετους πόρους που μπορεί να διατεθούν στην αρμόδια για τη διαχείριση ΓΔ στο πλαίσιο της ετήσιας διαδικασίας κατανομής και λαμβανομένων υπόψη των υφιστάμενων δημοσιονομικών περιορισμών.</w:t>
      </w:r>
    </w:p>
    <w:p w:rsidR="00A57BFD" w:rsidRDefault="00A57BFD">
      <w:pPr>
        <w:rPr>
          <w:noProof/>
        </w:rPr>
        <w:sectPr w:rsidR="00A57BFD" w:rsidSect="005B0D19">
          <w:pgSz w:w="11907" w:h="16840"/>
          <w:pgMar w:top="1134" w:right="1418" w:bottom="1134" w:left="1418" w:header="709" w:footer="709" w:gutter="0"/>
          <w:cols w:space="708"/>
          <w:docGrid w:linePitch="360"/>
        </w:sectPr>
      </w:pPr>
    </w:p>
    <w:p w:rsidR="00A57BFD" w:rsidRDefault="005B0D19">
      <w:pPr>
        <w:pStyle w:val="ManualHeading3"/>
        <w:rPr>
          <w:noProof/>
        </w:rPr>
      </w:pPr>
      <w:r>
        <w:lastRenderedPageBreak/>
        <w:t>3.2.3.</w:t>
      </w:r>
      <w:r>
        <w:tab/>
      </w:r>
      <w:r>
        <w:rPr>
          <w:noProof/>
        </w:rPr>
        <w:t xml:space="preserve">Συμμετοχή τρίτων στη χρηματοδότηση </w:t>
      </w:r>
    </w:p>
    <w:p w:rsidR="00A57BFD" w:rsidRDefault="005B0D19">
      <w:pPr>
        <w:pStyle w:val="Text1"/>
        <w:rPr>
          <w:noProof/>
        </w:rPr>
      </w:pPr>
      <w:r>
        <w:rPr>
          <w:noProof/>
        </w:rPr>
        <w:t>Η πρόταση/πρωτοβουλία:</w:t>
      </w:r>
    </w:p>
    <w:p w:rsidR="00A57BFD" w:rsidRDefault="005B0D19">
      <w:pPr>
        <w:pStyle w:val="ListDash1"/>
        <w:rPr>
          <w:noProof/>
        </w:rPr>
      </w:pPr>
      <w:r>
        <w:rPr>
          <w:noProof/>
        </w:rPr>
        <w:sym w:font="Wingdings" w:char="F0FD"/>
      </w:r>
      <w:r>
        <w:rPr>
          <w:noProof/>
        </w:rPr>
        <w:tab/>
        <w:t>δεν προβλέπει συγχρηματοδότηση από τρίτους</w:t>
      </w:r>
    </w:p>
    <w:p w:rsidR="00A57BFD" w:rsidRDefault="005B0D19">
      <w:pPr>
        <w:pStyle w:val="ListDash1"/>
        <w:rPr>
          <w:noProof/>
        </w:rPr>
      </w:pPr>
      <w:r>
        <w:rPr>
          <w:noProof/>
        </w:rPr>
        <w:sym w:font="Wingdings" w:char="F0A8"/>
      </w:r>
      <w:r>
        <w:rPr>
          <w:noProof/>
        </w:rPr>
        <w:tab/>
        <w:t>προβλέπει τη συγχρηματοδότηση από τρίτους που εκτιμάται παρακάτω:</w:t>
      </w:r>
    </w:p>
    <w:p w:rsidR="00A57BFD" w:rsidRDefault="005B0D19">
      <w:pPr>
        <w:jc w:val="right"/>
        <w:rPr>
          <w:noProof/>
          <w:sz w:val="20"/>
        </w:rPr>
      </w:pPr>
      <w:r>
        <w:rPr>
          <w:noProof/>
          <w:sz w:val="20"/>
        </w:rPr>
        <w:t>Πιστώσεις σε εκατ. EUR (με 3 δεκαδικά ψηφία)</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340"/>
        <w:gridCol w:w="964"/>
        <w:gridCol w:w="964"/>
        <w:gridCol w:w="964"/>
        <w:gridCol w:w="964"/>
        <w:gridCol w:w="964"/>
        <w:gridCol w:w="964"/>
        <w:gridCol w:w="964"/>
        <w:gridCol w:w="1158"/>
      </w:tblGrid>
      <w:tr w:rsidR="00A57BFD">
        <w:trPr>
          <w:cantSplit/>
          <w:jc w:val="center"/>
        </w:trPr>
        <w:tc>
          <w:tcPr>
            <w:tcW w:w="2340" w:type="dxa"/>
            <w:vAlign w:val="center"/>
          </w:tcPr>
          <w:p w:rsidR="00A57BFD" w:rsidRDefault="005B0D19">
            <w:pPr>
              <w:spacing w:before="60" w:after="60"/>
              <w:jc w:val="center"/>
              <w:rPr>
                <w:b/>
                <w:noProof/>
                <w:sz w:val="20"/>
              </w:rPr>
            </w:pPr>
            <w:r>
              <w:rPr>
                <w:b/>
                <w:noProof/>
                <w:sz w:val="20"/>
              </w:rPr>
              <w:t>Έτη</w:t>
            </w:r>
          </w:p>
        </w:tc>
        <w:tc>
          <w:tcPr>
            <w:tcW w:w="964" w:type="dxa"/>
            <w:vAlign w:val="center"/>
          </w:tcPr>
          <w:p w:rsidR="00A57BFD" w:rsidRDefault="005B0D19">
            <w:pPr>
              <w:jc w:val="center"/>
              <w:rPr>
                <w:noProof/>
                <w:sz w:val="20"/>
              </w:rPr>
            </w:pPr>
            <w:r>
              <w:rPr>
                <w:b/>
                <w:noProof/>
                <w:sz w:val="20"/>
              </w:rPr>
              <w:t>2021</w:t>
            </w:r>
          </w:p>
        </w:tc>
        <w:tc>
          <w:tcPr>
            <w:tcW w:w="964" w:type="dxa"/>
            <w:vAlign w:val="center"/>
          </w:tcPr>
          <w:p w:rsidR="00A57BFD" w:rsidRDefault="005B0D19">
            <w:pPr>
              <w:jc w:val="center"/>
              <w:rPr>
                <w:b/>
                <w:noProof/>
                <w:sz w:val="20"/>
              </w:rPr>
            </w:pPr>
            <w:r>
              <w:rPr>
                <w:b/>
                <w:noProof/>
                <w:sz w:val="20"/>
              </w:rPr>
              <w:t>2022</w:t>
            </w:r>
          </w:p>
        </w:tc>
        <w:tc>
          <w:tcPr>
            <w:tcW w:w="964" w:type="dxa"/>
            <w:vAlign w:val="center"/>
          </w:tcPr>
          <w:p w:rsidR="00A57BFD" w:rsidRDefault="005B0D19">
            <w:pPr>
              <w:jc w:val="center"/>
              <w:rPr>
                <w:b/>
                <w:noProof/>
                <w:sz w:val="20"/>
              </w:rPr>
            </w:pPr>
            <w:r>
              <w:rPr>
                <w:b/>
                <w:noProof/>
                <w:sz w:val="20"/>
              </w:rPr>
              <w:t>2023</w:t>
            </w:r>
          </w:p>
        </w:tc>
        <w:tc>
          <w:tcPr>
            <w:tcW w:w="964" w:type="dxa"/>
            <w:vAlign w:val="center"/>
          </w:tcPr>
          <w:p w:rsidR="00A57BFD" w:rsidRDefault="005B0D19">
            <w:pPr>
              <w:jc w:val="center"/>
              <w:rPr>
                <w:b/>
                <w:noProof/>
                <w:sz w:val="20"/>
              </w:rPr>
            </w:pPr>
            <w:r>
              <w:rPr>
                <w:b/>
                <w:noProof/>
                <w:sz w:val="20"/>
              </w:rPr>
              <w:t>2024</w:t>
            </w:r>
          </w:p>
        </w:tc>
        <w:tc>
          <w:tcPr>
            <w:tcW w:w="964" w:type="dxa"/>
            <w:vAlign w:val="center"/>
          </w:tcPr>
          <w:p w:rsidR="00A57BFD" w:rsidRDefault="005B0D19">
            <w:pPr>
              <w:jc w:val="center"/>
              <w:rPr>
                <w:b/>
                <w:noProof/>
                <w:sz w:val="20"/>
              </w:rPr>
            </w:pPr>
            <w:r>
              <w:rPr>
                <w:b/>
                <w:noProof/>
                <w:sz w:val="20"/>
              </w:rPr>
              <w:t>2025</w:t>
            </w:r>
          </w:p>
        </w:tc>
        <w:tc>
          <w:tcPr>
            <w:tcW w:w="964" w:type="dxa"/>
            <w:vAlign w:val="center"/>
          </w:tcPr>
          <w:p w:rsidR="00A57BFD" w:rsidRDefault="005B0D19">
            <w:pPr>
              <w:jc w:val="center"/>
              <w:rPr>
                <w:b/>
                <w:noProof/>
                <w:sz w:val="20"/>
              </w:rPr>
            </w:pPr>
            <w:r>
              <w:rPr>
                <w:b/>
                <w:noProof/>
                <w:sz w:val="20"/>
              </w:rPr>
              <w:t>2026</w:t>
            </w:r>
          </w:p>
        </w:tc>
        <w:tc>
          <w:tcPr>
            <w:tcW w:w="964" w:type="dxa"/>
            <w:vAlign w:val="center"/>
          </w:tcPr>
          <w:p w:rsidR="00A57BFD" w:rsidRDefault="005B0D19">
            <w:pPr>
              <w:jc w:val="center"/>
              <w:rPr>
                <w:b/>
                <w:noProof/>
                <w:sz w:val="20"/>
              </w:rPr>
            </w:pPr>
            <w:r>
              <w:rPr>
                <w:b/>
                <w:noProof/>
                <w:sz w:val="20"/>
              </w:rPr>
              <w:t>2027</w:t>
            </w:r>
          </w:p>
        </w:tc>
        <w:tc>
          <w:tcPr>
            <w:tcW w:w="1158" w:type="dxa"/>
            <w:vAlign w:val="center"/>
          </w:tcPr>
          <w:p w:rsidR="00A57BFD" w:rsidRDefault="005B0D19">
            <w:pPr>
              <w:spacing w:before="60" w:after="60"/>
              <w:jc w:val="center"/>
              <w:rPr>
                <w:b/>
                <w:noProof/>
                <w:sz w:val="20"/>
              </w:rPr>
            </w:pPr>
            <w:r>
              <w:rPr>
                <w:b/>
                <w:noProof/>
                <w:sz w:val="20"/>
              </w:rPr>
              <w:t>ΣΥΝΟΛΟ</w:t>
            </w:r>
          </w:p>
        </w:tc>
      </w:tr>
      <w:tr w:rsidR="00A57BFD">
        <w:trPr>
          <w:cantSplit/>
          <w:jc w:val="center"/>
        </w:trPr>
        <w:tc>
          <w:tcPr>
            <w:tcW w:w="2340" w:type="dxa"/>
          </w:tcPr>
          <w:p w:rsidR="00A57BFD" w:rsidRDefault="005B0D19">
            <w:pPr>
              <w:rPr>
                <w:noProof/>
              </w:rPr>
            </w:pPr>
            <w:r>
              <w:rPr>
                <w:noProof/>
                <w:sz w:val="20"/>
              </w:rPr>
              <w:t>Προσδιορισμός του φορέα συγχρηματοδότησης</w:t>
            </w:r>
            <w:r>
              <w:rPr>
                <w:i/>
                <w:noProof/>
                <w:sz w:val="20"/>
              </w:rPr>
              <w:t xml:space="preserve"> </w:t>
            </w:r>
          </w:p>
        </w:tc>
        <w:tc>
          <w:tcPr>
            <w:tcW w:w="964" w:type="dxa"/>
            <w:vAlign w:val="center"/>
          </w:tcPr>
          <w:p w:rsidR="00A57BFD" w:rsidRDefault="00A57BFD">
            <w:pPr>
              <w:spacing w:before="60" w:after="60"/>
              <w:jc w:val="center"/>
              <w:rPr>
                <w:noProof/>
                <w:sz w:val="20"/>
              </w:rPr>
            </w:pPr>
          </w:p>
        </w:tc>
        <w:tc>
          <w:tcPr>
            <w:tcW w:w="964" w:type="dxa"/>
            <w:vAlign w:val="center"/>
          </w:tcPr>
          <w:p w:rsidR="00A57BFD" w:rsidRDefault="00A57BFD">
            <w:pPr>
              <w:spacing w:before="60" w:after="60"/>
              <w:jc w:val="center"/>
              <w:rPr>
                <w:noProof/>
                <w:sz w:val="20"/>
              </w:rPr>
            </w:pPr>
          </w:p>
        </w:tc>
        <w:tc>
          <w:tcPr>
            <w:tcW w:w="964" w:type="dxa"/>
            <w:vAlign w:val="center"/>
          </w:tcPr>
          <w:p w:rsidR="00A57BFD" w:rsidRDefault="00A57BFD">
            <w:pPr>
              <w:spacing w:before="60" w:after="60"/>
              <w:jc w:val="center"/>
              <w:rPr>
                <w:noProof/>
                <w:sz w:val="20"/>
              </w:rPr>
            </w:pPr>
          </w:p>
        </w:tc>
        <w:tc>
          <w:tcPr>
            <w:tcW w:w="964" w:type="dxa"/>
            <w:vAlign w:val="center"/>
          </w:tcPr>
          <w:p w:rsidR="00A57BFD" w:rsidRDefault="00A57BFD">
            <w:pPr>
              <w:spacing w:before="60" w:after="60"/>
              <w:jc w:val="center"/>
              <w:rPr>
                <w:noProof/>
                <w:sz w:val="20"/>
              </w:rPr>
            </w:pPr>
          </w:p>
        </w:tc>
        <w:tc>
          <w:tcPr>
            <w:tcW w:w="964" w:type="dxa"/>
            <w:vAlign w:val="center"/>
          </w:tcPr>
          <w:p w:rsidR="00A57BFD" w:rsidRDefault="00A57BFD">
            <w:pPr>
              <w:spacing w:before="60" w:after="60"/>
              <w:jc w:val="center"/>
              <w:rPr>
                <w:noProof/>
                <w:sz w:val="20"/>
              </w:rPr>
            </w:pPr>
          </w:p>
        </w:tc>
        <w:tc>
          <w:tcPr>
            <w:tcW w:w="964" w:type="dxa"/>
            <w:vAlign w:val="center"/>
          </w:tcPr>
          <w:p w:rsidR="00A57BFD" w:rsidRDefault="00A57BFD">
            <w:pPr>
              <w:spacing w:before="60" w:after="60"/>
              <w:jc w:val="center"/>
              <w:rPr>
                <w:noProof/>
                <w:sz w:val="20"/>
              </w:rPr>
            </w:pPr>
          </w:p>
        </w:tc>
        <w:tc>
          <w:tcPr>
            <w:tcW w:w="964" w:type="dxa"/>
            <w:vAlign w:val="center"/>
          </w:tcPr>
          <w:p w:rsidR="00A57BFD" w:rsidRDefault="00A57BFD">
            <w:pPr>
              <w:spacing w:before="60" w:after="60"/>
              <w:jc w:val="center"/>
              <w:rPr>
                <w:noProof/>
                <w:sz w:val="20"/>
              </w:rPr>
            </w:pPr>
          </w:p>
        </w:tc>
        <w:tc>
          <w:tcPr>
            <w:tcW w:w="1158" w:type="dxa"/>
            <w:vAlign w:val="center"/>
          </w:tcPr>
          <w:p w:rsidR="00A57BFD" w:rsidRDefault="00A57BFD">
            <w:pPr>
              <w:spacing w:before="60" w:after="60"/>
              <w:jc w:val="center"/>
              <w:rPr>
                <w:noProof/>
                <w:sz w:val="20"/>
              </w:rPr>
            </w:pPr>
          </w:p>
        </w:tc>
      </w:tr>
      <w:tr w:rsidR="00A57BFD">
        <w:trPr>
          <w:cantSplit/>
          <w:jc w:val="center"/>
        </w:trPr>
        <w:tc>
          <w:tcPr>
            <w:tcW w:w="2340" w:type="dxa"/>
          </w:tcPr>
          <w:p w:rsidR="00A57BFD" w:rsidRDefault="005B0D19">
            <w:pPr>
              <w:spacing w:before="60" w:after="60"/>
              <w:jc w:val="left"/>
              <w:rPr>
                <w:noProof/>
                <w:sz w:val="20"/>
              </w:rPr>
            </w:pPr>
            <w:r>
              <w:rPr>
                <w:noProof/>
                <w:sz w:val="20"/>
              </w:rPr>
              <w:t xml:space="preserve">ΣΥΝΟΛΟ συγχρηματοδοτούμενων πιστώσεων </w:t>
            </w:r>
          </w:p>
        </w:tc>
        <w:tc>
          <w:tcPr>
            <w:tcW w:w="964" w:type="dxa"/>
            <w:vAlign w:val="center"/>
          </w:tcPr>
          <w:p w:rsidR="00A57BFD" w:rsidRDefault="00A57BFD">
            <w:pPr>
              <w:spacing w:before="60" w:after="60"/>
              <w:jc w:val="center"/>
              <w:rPr>
                <w:noProof/>
                <w:sz w:val="20"/>
              </w:rPr>
            </w:pPr>
          </w:p>
        </w:tc>
        <w:tc>
          <w:tcPr>
            <w:tcW w:w="964" w:type="dxa"/>
            <w:vAlign w:val="center"/>
          </w:tcPr>
          <w:p w:rsidR="00A57BFD" w:rsidRDefault="00A57BFD">
            <w:pPr>
              <w:spacing w:before="60" w:after="60"/>
              <w:jc w:val="center"/>
              <w:rPr>
                <w:noProof/>
                <w:sz w:val="20"/>
              </w:rPr>
            </w:pPr>
          </w:p>
        </w:tc>
        <w:tc>
          <w:tcPr>
            <w:tcW w:w="964" w:type="dxa"/>
            <w:vAlign w:val="center"/>
          </w:tcPr>
          <w:p w:rsidR="00A57BFD" w:rsidRDefault="00A57BFD">
            <w:pPr>
              <w:spacing w:before="60" w:after="60"/>
              <w:jc w:val="center"/>
              <w:rPr>
                <w:noProof/>
                <w:sz w:val="20"/>
              </w:rPr>
            </w:pPr>
          </w:p>
        </w:tc>
        <w:tc>
          <w:tcPr>
            <w:tcW w:w="964" w:type="dxa"/>
            <w:vAlign w:val="center"/>
          </w:tcPr>
          <w:p w:rsidR="00A57BFD" w:rsidRDefault="00A57BFD">
            <w:pPr>
              <w:spacing w:before="60" w:after="60"/>
              <w:jc w:val="center"/>
              <w:rPr>
                <w:noProof/>
                <w:sz w:val="20"/>
              </w:rPr>
            </w:pPr>
          </w:p>
        </w:tc>
        <w:tc>
          <w:tcPr>
            <w:tcW w:w="964" w:type="dxa"/>
            <w:vAlign w:val="center"/>
          </w:tcPr>
          <w:p w:rsidR="00A57BFD" w:rsidRDefault="00A57BFD">
            <w:pPr>
              <w:spacing w:before="60" w:after="60"/>
              <w:jc w:val="center"/>
              <w:rPr>
                <w:noProof/>
                <w:sz w:val="20"/>
              </w:rPr>
            </w:pPr>
          </w:p>
        </w:tc>
        <w:tc>
          <w:tcPr>
            <w:tcW w:w="964" w:type="dxa"/>
            <w:vAlign w:val="center"/>
          </w:tcPr>
          <w:p w:rsidR="00A57BFD" w:rsidRDefault="00A57BFD">
            <w:pPr>
              <w:spacing w:before="60" w:after="60"/>
              <w:jc w:val="center"/>
              <w:rPr>
                <w:noProof/>
                <w:sz w:val="20"/>
              </w:rPr>
            </w:pPr>
          </w:p>
        </w:tc>
        <w:tc>
          <w:tcPr>
            <w:tcW w:w="964" w:type="dxa"/>
            <w:vAlign w:val="center"/>
          </w:tcPr>
          <w:p w:rsidR="00A57BFD" w:rsidRDefault="00A57BFD">
            <w:pPr>
              <w:spacing w:before="60" w:after="60"/>
              <w:jc w:val="center"/>
              <w:rPr>
                <w:noProof/>
                <w:sz w:val="20"/>
              </w:rPr>
            </w:pPr>
          </w:p>
        </w:tc>
        <w:tc>
          <w:tcPr>
            <w:tcW w:w="1158" w:type="dxa"/>
            <w:vAlign w:val="center"/>
          </w:tcPr>
          <w:p w:rsidR="00A57BFD" w:rsidRDefault="00A57BFD">
            <w:pPr>
              <w:spacing w:before="60" w:after="60"/>
              <w:jc w:val="center"/>
              <w:rPr>
                <w:noProof/>
                <w:sz w:val="20"/>
              </w:rPr>
            </w:pPr>
          </w:p>
        </w:tc>
      </w:tr>
    </w:tbl>
    <w:p w:rsidR="00A57BFD" w:rsidRDefault="00A57BFD">
      <w:pPr>
        <w:rPr>
          <w:noProof/>
        </w:rPr>
      </w:pPr>
    </w:p>
    <w:p w:rsidR="00A57BFD" w:rsidRDefault="005B0D19">
      <w:pPr>
        <w:pStyle w:val="ManualHeading2"/>
        <w:rPr>
          <w:bCs/>
          <w:noProof/>
          <w:szCs w:val="24"/>
        </w:rPr>
      </w:pPr>
      <w:r>
        <w:t>3.3.</w:t>
      </w:r>
      <w:r>
        <w:tab/>
      </w:r>
      <w:r>
        <w:rPr>
          <w:noProof/>
        </w:rPr>
        <w:t xml:space="preserve">Εκτιμώμενες επιπτώσεις στα έσοδα </w:t>
      </w:r>
    </w:p>
    <w:p w:rsidR="00A57BFD" w:rsidRDefault="005B0D19">
      <w:pPr>
        <w:pStyle w:val="ListDash1"/>
        <w:rPr>
          <w:noProof/>
        </w:rPr>
      </w:pPr>
      <w:r>
        <w:rPr>
          <w:noProof/>
        </w:rPr>
        <w:sym w:font="Wingdings" w:char="F0A8"/>
      </w:r>
      <w:r>
        <w:rPr>
          <w:noProof/>
        </w:rPr>
        <w:tab/>
        <w:t>Η πρόταση/πρωτοβουλία δεν έχει δημοσιονομικές επιπτώσεις στα έσοδα.</w:t>
      </w:r>
    </w:p>
    <w:p w:rsidR="00A57BFD" w:rsidRDefault="005B0D19">
      <w:pPr>
        <w:pStyle w:val="ListDash1"/>
        <w:rPr>
          <w:noProof/>
        </w:rPr>
      </w:pPr>
      <w:r>
        <w:rPr>
          <w:noProof/>
        </w:rPr>
        <w:sym w:font="Wingdings" w:char="F0FD"/>
      </w:r>
      <w:r>
        <w:rPr>
          <w:noProof/>
        </w:rPr>
        <w:tab/>
        <w:t>Η πρόταση/πρωτοβουλία έχει τις δημοσιονομικές επιπτώσεις που περιγράφονται κατωτέρω:</w:t>
      </w:r>
    </w:p>
    <w:p w:rsidR="00A57BFD" w:rsidRDefault="005B0D19">
      <w:pPr>
        <w:pStyle w:val="ListNumberLevel3"/>
        <w:tabs>
          <w:tab w:val="clear" w:pos="2126"/>
          <w:tab w:val="num" w:pos="1843"/>
        </w:tabs>
        <w:rPr>
          <w:noProof/>
        </w:rPr>
      </w:pPr>
      <w:r>
        <w:rPr>
          <w:noProof/>
        </w:rPr>
        <w:sym w:font="Wingdings" w:char="F0A8"/>
      </w:r>
      <w:r>
        <w:rPr>
          <w:noProof/>
        </w:rPr>
        <w:tab/>
        <w:t xml:space="preserve">στους ιδίους πόρους </w:t>
      </w:r>
    </w:p>
    <w:p w:rsidR="00A57BFD" w:rsidRDefault="005B0D19">
      <w:pPr>
        <w:pStyle w:val="ListNumberLevel3"/>
        <w:tabs>
          <w:tab w:val="clear" w:pos="2126"/>
          <w:tab w:val="num" w:pos="1843"/>
        </w:tabs>
        <w:rPr>
          <w:noProof/>
        </w:rPr>
      </w:pPr>
      <w:r>
        <w:rPr>
          <w:noProof/>
        </w:rPr>
        <w:sym w:font="Wingdings" w:char="F0FD"/>
      </w:r>
      <w:r>
        <w:rPr>
          <w:noProof/>
        </w:rPr>
        <w:tab/>
        <w:t xml:space="preserve"> στα διάφορα έσοδα</w:t>
      </w:r>
    </w:p>
    <w:p w:rsidR="00A57BFD" w:rsidRDefault="005B0D19">
      <w:pPr>
        <w:jc w:val="right"/>
        <w:rPr>
          <w:noProof/>
        </w:rPr>
      </w:pPr>
      <w:r>
        <w:rPr>
          <w:noProof/>
        </w:rPr>
        <w:t xml:space="preserve">      Να αναφερθεί αν τα έσοδα προορίζονται για γραμμές δαπανών </w:t>
      </w:r>
      <w:r>
        <w:rPr>
          <w:noProof/>
        </w:rPr>
        <w:sym w:font="Wingdings" w:char="F0FD"/>
      </w:r>
      <w:r>
        <w:rPr>
          <w:noProof/>
        </w:rPr>
        <w:tab/>
      </w:r>
    </w:p>
    <w:p w:rsidR="00A57BFD" w:rsidRDefault="005B0D19">
      <w:pPr>
        <w:jc w:val="right"/>
        <w:rPr>
          <w:i/>
          <w:noProof/>
          <w:sz w:val="20"/>
        </w:rPr>
      </w:pPr>
      <w:r>
        <w:rPr>
          <w:noProof/>
        </w:rPr>
        <w:t>σε εκατ. EUR (με τρία δεκαδικά ψηφία)</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44"/>
        <w:gridCol w:w="1080"/>
        <w:gridCol w:w="900"/>
        <w:gridCol w:w="900"/>
        <w:gridCol w:w="1080"/>
        <w:gridCol w:w="1080"/>
        <w:gridCol w:w="1080"/>
        <w:gridCol w:w="1080"/>
      </w:tblGrid>
      <w:tr w:rsidR="00A57BFD">
        <w:trPr>
          <w:trHeight w:val="388"/>
          <w:jc w:val="center"/>
        </w:trPr>
        <w:tc>
          <w:tcPr>
            <w:tcW w:w="2144" w:type="dxa"/>
            <w:vMerge w:val="restart"/>
            <w:vAlign w:val="center"/>
          </w:tcPr>
          <w:p w:rsidR="00A57BFD" w:rsidRDefault="005B0D19">
            <w:pPr>
              <w:spacing w:before="40" w:after="40"/>
              <w:rPr>
                <w:noProof/>
                <w:sz w:val="18"/>
              </w:rPr>
            </w:pPr>
            <w:r>
              <w:rPr>
                <w:noProof/>
                <w:sz w:val="18"/>
              </w:rPr>
              <w:t>Γραμμή εσόδων του προϋπολογισμού</w:t>
            </w:r>
          </w:p>
        </w:tc>
        <w:tc>
          <w:tcPr>
            <w:tcW w:w="7200" w:type="dxa"/>
            <w:gridSpan w:val="7"/>
            <w:vAlign w:val="center"/>
          </w:tcPr>
          <w:p w:rsidR="00A57BFD" w:rsidRDefault="005B0D19">
            <w:pPr>
              <w:jc w:val="center"/>
              <w:rPr>
                <w:noProof/>
                <w:sz w:val="18"/>
              </w:rPr>
            </w:pPr>
            <w:r>
              <w:rPr>
                <w:noProof/>
                <w:sz w:val="18"/>
              </w:rPr>
              <w:t>Επιπτώσεις της πρότασης</w:t>
            </w:r>
          </w:p>
        </w:tc>
      </w:tr>
      <w:tr w:rsidR="00A57BFD">
        <w:trPr>
          <w:trHeight w:val="388"/>
          <w:jc w:val="center"/>
        </w:trPr>
        <w:tc>
          <w:tcPr>
            <w:tcW w:w="2144" w:type="dxa"/>
            <w:vMerge/>
          </w:tcPr>
          <w:p w:rsidR="00A57BFD" w:rsidRDefault="00A57BFD">
            <w:pPr>
              <w:spacing w:before="40" w:after="40"/>
              <w:rPr>
                <w:noProof/>
                <w:sz w:val="18"/>
              </w:rPr>
            </w:pPr>
          </w:p>
        </w:tc>
        <w:tc>
          <w:tcPr>
            <w:tcW w:w="1080" w:type="dxa"/>
            <w:vAlign w:val="center"/>
          </w:tcPr>
          <w:p w:rsidR="00A57BFD" w:rsidRDefault="005B0D19">
            <w:pPr>
              <w:jc w:val="center"/>
              <w:rPr>
                <w:noProof/>
                <w:sz w:val="18"/>
              </w:rPr>
            </w:pPr>
            <w:r>
              <w:rPr>
                <w:b/>
                <w:noProof/>
                <w:sz w:val="20"/>
              </w:rPr>
              <w:t>2021</w:t>
            </w:r>
          </w:p>
        </w:tc>
        <w:tc>
          <w:tcPr>
            <w:tcW w:w="900" w:type="dxa"/>
            <w:vAlign w:val="center"/>
          </w:tcPr>
          <w:p w:rsidR="00A57BFD" w:rsidRDefault="005B0D19">
            <w:pPr>
              <w:jc w:val="center"/>
              <w:rPr>
                <w:b/>
                <w:noProof/>
                <w:sz w:val="20"/>
              </w:rPr>
            </w:pPr>
            <w:r>
              <w:rPr>
                <w:b/>
                <w:noProof/>
                <w:sz w:val="20"/>
              </w:rPr>
              <w:t>2022</w:t>
            </w:r>
          </w:p>
        </w:tc>
        <w:tc>
          <w:tcPr>
            <w:tcW w:w="900" w:type="dxa"/>
            <w:vAlign w:val="center"/>
          </w:tcPr>
          <w:p w:rsidR="00A57BFD" w:rsidRDefault="005B0D19">
            <w:pPr>
              <w:jc w:val="center"/>
              <w:rPr>
                <w:b/>
                <w:noProof/>
                <w:sz w:val="20"/>
              </w:rPr>
            </w:pPr>
            <w:r>
              <w:rPr>
                <w:b/>
                <w:noProof/>
                <w:sz w:val="20"/>
              </w:rPr>
              <w:t>2023</w:t>
            </w:r>
          </w:p>
        </w:tc>
        <w:tc>
          <w:tcPr>
            <w:tcW w:w="1080" w:type="dxa"/>
            <w:vAlign w:val="center"/>
          </w:tcPr>
          <w:p w:rsidR="00A57BFD" w:rsidRDefault="005B0D19">
            <w:pPr>
              <w:jc w:val="center"/>
              <w:rPr>
                <w:b/>
                <w:noProof/>
                <w:sz w:val="20"/>
              </w:rPr>
            </w:pPr>
            <w:r>
              <w:rPr>
                <w:b/>
                <w:noProof/>
                <w:sz w:val="20"/>
              </w:rPr>
              <w:t>2024</w:t>
            </w:r>
          </w:p>
        </w:tc>
        <w:tc>
          <w:tcPr>
            <w:tcW w:w="1080" w:type="dxa"/>
            <w:vAlign w:val="center"/>
          </w:tcPr>
          <w:p w:rsidR="00A57BFD" w:rsidRDefault="005B0D19">
            <w:pPr>
              <w:jc w:val="center"/>
              <w:rPr>
                <w:b/>
                <w:noProof/>
                <w:sz w:val="20"/>
              </w:rPr>
            </w:pPr>
            <w:r>
              <w:rPr>
                <w:b/>
                <w:noProof/>
                <w:sz w:val="20"/>
              </w:rPr>
              <w:t>2025</w:t>
            </w:r>
          </w:p>
        </w:tc>
        <w:tc>
          <w:tcPr>
            <w:tcW w:w="1080" w:type="dxa"/>
            <w:vAlign w:val="center"/>
          </w:tcPr>
          <w:p w:rsidR="00A57BFD" w:rsidRDefault="005B0D19">
            <w:pPr>
              <w:jc w:val="center"/>
              <w:rPr>
                <w:b/>
                <w:noProof/>
                <w:sz w:val="20"/>
              </w:rPr>
            </w:pPr>
            <w:r>
              <w:rPr>
                <w:b/>
                <w:noProof/>
                <w:sz w:val="20"/>
              </w:rPr>
              <w:t>2026</w:t>
            </w:r>
          </w:p>
        </w:tc>
        <w:tc>
          <w:tcPr>
            <w:tcW w:w="1080" w:type="dxa"/>
            <w:vAlign w:val="center"/>
          </w:tcPr>
          <w:p w:rsidR="00A57BFD" w:rsidRDefault="005B0D19">
            <w:pPr>
              <w:jc w:val="center"/>
              <w:rPr>
                <w:b/>
                <w:noProof/>
                <w:sz w:val="20"/>
              </w:rPr>
            </w:pPr>
            <w:r>
              <w:rPr>
                <w:b/>
                <w:noProof/>
                <w:sz w:val="20"/>
              </w:rPr>
              <w:t>2027</w:t>
            </w:r>
          </w:p>
        </w:tc>
      </w:tr>
      <w:tr w:rsidR="00A57BFD">
        <w:trPr>
          <w:trHeight w:val="388"/>
          <w:jc w:val="center"/>
        </w:trPr>
        <w:tc>
          <w:tcPr>
            <w:tcW w:w="2144" w:type="dxa"/>
            <w:vAlign w:val="center"/>
          </w:tcPr>
          <w:p w:rsidR="00A57BFD" w:rsidRDefault="005B0D19">
            <w:pPr>
              <w:spacing w:before="40" w:after="40"/>
              <w:rPr>
                <w:noProof/>
                <w:sz w:val="18"/>
              </w:rPr>
            </w:pPr>
            <w:r>
              <w:rPr>
                <w:noProof/>
                <w:sz w:val="18"/>
              </w:rPr>
              <w:t>67 01 &amp; 67 02</w:t>
            </w:r>
          </w:p>
        </w:tc>
        <w:tc>
          <w:tcPr>
            <w:tcW w:w="1080" w:type="dxa"/>
            <w:vAlign w:val="center"/>
          </w:tcPr>
          <w:p w:rsidR="00A57BFD" w:rsidRDefault="005B0D19" w:rsidP="003B5748">
            <w:pPr>
              <w:spacing w:beforeLines="40" w:afterLines="40"/>
              <w:jc w:val="center"/>
              <w:rPr>
                <w:noProof/>
                <w:sz w:val="18"/>
              </w:rPr>
            </w:pPr>
            <w:r>
              <w:rPr>
                <w:noProof/>
                <w:sz w:val="16"/>
              </w:rPr>
              <w:t>280</w:t>
            </w:r>
          </w:p>
        </w:tc>
        <w:tc>
          <w:tcPr>
            <w:tcW w:w="900" w:type="dxa"/>
            <w:vAlign w:val="center"/>
          </w:tcPr>
          <w:p w:rsidR="00A57BFD" w:rsidRDefault="005B0D19" w:rsidP="003B5748">
            <w:pPr>
              <w:spacing w:beforeLines="40" w:afterLines="40"/>
              <w:jc w:val="center"/>
              <w:rPr>
                <w:noProof/>
                <w:sz w:val="18"/>
              </w:rPr>
            </w:pPr>
            <w:r>
              <w:rPr>
                <w:noProof/>
                <w:sz w:val="16"/>
              </w:rPr>
              <w:t>230</w:t>
            </w:r>
          </w:p>
        </w:tc>
        <w:tc>
          <w:tcPr>
            <w:tcW w:w="900" w:type="dxa"/>
            <w:vAlign w:val="center"/>
          </w:tcPr>
          <w:p w:rsidR="00A57BFD" w:rsidRDefault="005B0D19" w:rsidP="003B5748">
            <w:pPr>
              <w:spacing w:beforeLines="40" w:afterLines="40"/>
              <w:jc w:val="center"/>
              <w:rPr>
                <w:noProof/>
                <w:sz w:val="18"/>
              </w:rPr>
            </w:pPr>
            <w:r>
              <w:rPr>
                <w:noProof/>
                <w:sz w:val="16"/>
              </w:rPr>
              <w:t>130</w:t>
            </w:r>
          </w:p>
        </w:tc>
        <w:tc>
          <w:tcPr>
            <w:tcW w:w="1080" w:type="dxa"/>
            <w:vAlign w:val="center"/>
          </w:tcPr>
          <w:p w:rsidR="00A57BFD" w:rsidRDefault="005B0D19" w:rsidP="003B5748">
            <w:pPr>
              <w:spacing w:beforeLines="40" w:afterLines="40"/>
              <w:jc w:val="center"/>
              <w:rPr>
                <w:noProof/>
                <w:sz w:val="18"/>
              </w:rPr>
            </w:pPr>
            <w:r>
              <w:rPr>
                <w:noProof/>
                <w:sz w:val="16"/>
              </w:rPr>
              <w:t>130</w:t>
            </w:r>
          </w:p>
        </w:tc>
        <w:tc>
          <w:tcPr>
            <w:tcW w:w="1080" w:type="dxa"/>
            <w:vAlign w:val="center"/>
          </w:tcPr>
          <w:p w:rsidR="00A57BFD" w:rsidRDefault="005B0D19" w:rsidP="003B5748">
            <w:pPr>
              <w:spacing w:beforeLines="40" w:afterLines="40"/>
              <w:jc w:val="center"/>
              <w:rPr>
                <w:noProof/>
                <w:sz w:val="18"/>
              </w:rPr>
            </w:pPr>
            <w:r>
              <w:rPr>
                <w:noProof/>
                <w:sz w:val="16"/>
              </w:rPr>
              <w:t>130</w:t>
            </w:r>
          </w:p>
        </w:tc>
        <w:tc>
          <w:tcPr>
            <w:tcW w:w="1080" w:type="dxa"/>
            <w:vAlign w:val="center"/>
          </w:tcPr>
          <w:p w:rsidR="00A57BFD" w:rsidRDefault="005B0D19" w:rsidP="003B5748">
            <w:pPr>
              <w:spacing w:beforeLines="40" w:afterLines="40"/>
              <w:jc w:val="center"/>
              <w:rPr>
                <w:noProof/>
                <w:sz w:val="18"/>
              </w:rPr>
            </w:pPr>
            <w:r>
              <w:rPr>
                <w:noProof/>
                <w:sz w:val="16"/>
              </w:rPr>
              <w:t>130</w:t>
            </w:r>
          </w:p>
        </w:tc>
        <w:tc>
          <w:tcPr>
            <w:tcW w:w="1080" w:type="dxa"/>
            <w:vAlign w:val="center"/>
          </w:tcPr>
          <w:p w:rsidR="00A57BFD" w:rsidRDefault="005B0D19" w:rsidP="003B5748">
            <w:pPr>
              <w:spacing w:beforeLines="40" w:afterLines="40"/>
              <w:jc w:val="center"/>
              <w:rPr>
                <w:noProof/>
                <w:sz w:val="18"/>
              </w:rPr>
            </w:pPr>
            <w:r>
              <w:rPr>
                <w:noProof/>
                <w:sz w:val="16"/>
              </w:rPr>
              <w:t>130</w:t>
            </w:r>
          </w:p>
        </w:tc>
      </w:tr>
    </w:tbl>
    <w:p w:rsidR="00A57BFD" w:rsidRDefault="005B0D19">
      <w:pPr>
        <w:pStyle w:val="Text1"/>
        <w:rPr>
          <w:noProof/>
          <w:sz w:val="20"/>
        </w:rPr>
      </w:pPr>
      <w:r>
        <w:rPr>
          <w:noProof/>
          <w:sz w:val="20"/>
        </w:rPr>
        <w:t>Ως προς τα έσοδα «για ειδικό προορισμό», να προσδιοριστούν οι γραμμές δαπανών του προϋπολογισμού που επηρεάζονται.</w:t>
      </w:r>
    </w:p>
    <w:p w:rsidR="00A57BFD" w:rsidRDefault="005B0D19">
      <w:pPr>
        <w:pStyle w:val="Text1"/>
        <w:pBdr>
          <w:top w:val="single" w:sz="4" w:space="1" w:color="auto"/>
          <w:left w:val="single" w:sz="4" w:space="4" w:color="auto"/>
          <w:bottom w:val="single" w:sz="4" w:space="1" w:color="auto"/>
          <w:right w:val="single" w:sz="4" w:space="4" w:color="auto"/>
        </w:pBdr>
        <w:rPr>
          <w:noProof/>
        </w:rPr>
      </w:pPr>
      <w:r>
        <w:rPr>
          <w:noProof/>
        </w:rPr>
        <w:t>08 02 YY – Τομεακοί τύποι παρεμβάσεων</w:t>
      </w:r>
    </w:p>
    <w:p w:rsidR="00A57BFD" w:rsidRDefault="005B0D19">
      <w:pPr>
        <w:pStyle w:val="Text1"/>
        <w:pBdr>
          <w:top w:val="single" w:sz="4" w:space="1" w:color="auto"/>
          <w:left w:val="single" w:sz="4" w:space="4" w:color="auto"/>
          <w:bottom w:val="single" w:sz="4" w:space="1" w:color="auto"/>
          <w:right w:val="single" w:sz="4" w:space="4" w:color="auto"/>
        </w:pBdr>
        <w:rPr>
          <w:noProof/>
        </w:rPr>
      </w:pPr>
      <w:r>
        <w:rPr>
          <w:noProof/>
        </w:rPr>
        <w:t>08 02 YY – Τύποι παρεμβάσεων άμεσων ενισχύσεων</w:t>
      </w:r>
    </w:p>
    <w:p w:rsidR="00A57BFD" w:rsidRDefault="005B0D19">
      <w:pPr>
        <w:pStyle w:val="Text1"/>
        <w:rPr>
          <w:noProof/>
          <w:sz w:val="20"/>
        </w:rPr>
      </w:pPr>
      <w:r>
        <w:rPr>
          <w:noProof/>
          <w:sz w:val="20"/>
        </w:rPr>
        <w:t>Άλλες παρατηρήσεις (π.χ. μέθοδος/τύπος για τον υπολογισμό των επιπτώσεων στα έσοδα ή τυχόν άλλες πληροφορίες).</w:t>
      </w:r>
    </w:p>
    <w:p w:rsidR="00A57BFD" w:rsidRDefault="005B0D19">
      <w:pPr>
        <w:pStyle w:val="Text1"/>
        <w:pBdr>
          <w:top w:val="single" w:sz="4" w:space="1" w:color="auto"/>
          <w:left w:val="single" w:sz="4" w:space="4" w:color="auto"/>
          <w:bottom w:val="single" w:sz="4" w:space="1" w:color="auto"/>
          <w:right w:val="single" w:sz="4" w:space="4" w:color="auto"/>
        </w:pBdr>
        <w:rPr>
          <w:noProof/>
        </w:rPr>
      </w:pPr>
      <w:r>
        <w:rPr>
          <w:noProof/>
        </w:rPr>
        <w:t>Βλ. παρατηρήσεις στο σημείο 3.</w:t>
      </w:r>
    </w:p>
    <w:sectPr w:rsidR="00A57BFD" w:rsidSect="005B0D19">
      <w:pgSz w:w="11907" w:h="16839"/>
      <w:pgMar w:top="1134" w:right="1417" w:bottom="1134"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20F" w:rsidRDefault="0077520F">
      <w:pPr>
        <w:spacing w:before="0" w:after="0"/>
      </w:pPr>
      <w:r>
        <w:separator/>
      </w:r>
    </w:p>
  </w:endnote>
  <w:endnote w:type="continuationSeparator" w:id="0">
    <w:p w:rsidR="0077520F" w:rsidRDefault="0077520F">
      <w:pPr>
        <w:spacing w:before="0" w:after="0"/>
      </w:pPr>
      <w:r>
        <w:continuationSeparator/>
      </w:r>
    </w:p>
  </w:endnote>
  <w:endnote w:type="continuationNotice" w:id="1">
    <w:p w:rsidR="0077520F" w:rsidRDefault="0077520F">
      <w:pPr>
        <w:spacing w:before="0" w:after="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D19" w:rsidRPr="005B0D19" w:rsidRDefault="005B0D19" w:rsidP="005B0D19">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BFD" w:rsidRPr="005B0D19" w:rsidRDefault="005B0D19" w:rsidP="005B0D19">
    <w:pPr>
      <w:pStyle w:val="af4"/>
      <w:rPr>
        <w:rFonts w:ascii="Arial" w:hAnsi="Arial" w:cs="Arial"/>
        <w:b/>
        <w:sz w:val="48"/>
      </w:rPr>
    </w:pPr>
    <w:r w:rsidRPr="005B0D19">
      <w:rPr>
        <w:rFonts w:ascii="Arial" w:hAnsi="Arial" w:cs="Arial"/>
        <w:b/>
        <w:sz w:val="48"/>
      </w:rPr>
      <w:t>EL</w:t>
    </w:r>
    <w:r w:rsidRPr="005B0D19">
      <w:rPr>
        <w:rFonts w:ascii="Arial" w:hAnsi="Arial" w:cs="Arial"/>
        <w:b/>
        <w:sz w:val="48"/>
      </w:rPr>
      <w:tab/>
    </w:r>
    <w:r w:rsidRPr="005B0D19">
      <w:rPr>
        <w:rFonts w:ascii="Arial" w:hAnsi="Arial" w:cs="Arial"/>
        <w:b/>
        <w:sz w:val="48"/>
      </w:rPr>
      <w:tab/>
    </w:r>
    <w:r w:rsidRPr="005B0D19">
      <w:tab/>
    </w:r>
    <w:r w:rsidRPr="005B0D19">
      <w:rPr>
        <w:rFonts w:ascii="Arial" w:hAnsi="Arial" w:cs="Arial"/>
        <w:b/>
        <w:sz w:val="48"/>
      </w:rPr>
      <w:t>EL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D19" w:rsidRPr="005B0D19" w:rsidRDefault="005B0D19" w:rsidP="005B0D19">
    <w:pPr>
      <w:pStyle w:val="af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D19" w:rsidRPr="005B0D19" w:rsidRDefault="005B0D19" w:rsidP="005B0D19">
    <w:pPr>
      <w:pStyle w:val="af4"/>
      <w:rPr>
        <w:rFonts w:ascii="Arial" w:hAnsi="Arial" w:cs="Arial"/>
        <w:b/>
        <w:sz w:val="48"/>
      </w:rPr>
    </w:pPr>
    <w:r w:rsidRPr="005B0D19">
      <w:rPr>
        <w:rFonts w:ascii="Arial" w:hAnsi="Arial" w:cs="Arial"/>
        <w:b/>
        <w:sz w:val="48"/>
      </w:rPr>
      <w:t>EL</w:t>
    </w:r>
    <w:r w:rsidRPr="005B0D19">
      <w:rPr>
        <w:rFonts w:ascii="Arial" w:hAnsi="Arial" w:cs="Arial"/>
        <w:b/>
        <w:sz w:val="48"/>
      </w:rPr>
      <w:tab/>
    </w:r>
    <w:r w:rsidR="000F0BC5">
      <w:fldChar w:fldCharType="begin"/>
    </w:r>
    <w:r>
      <w:instrText xml:space="preserve"> PAGE  \* MERGEFORMAT </w:instrText>
    </w:r>
    <w:r w:rsidR="000F0BC5">
      <w:fldChar w:fldCharType="separate"/>
    </w:r>
    <w:r w:rsidR="003B5748">
      <w:rPr>
        <w:noProof/>
      </w:rPr>
      <w:t>116</w:t>
    </w:r>
    <w:r w:rsidR="000F0BC5">
      <w:fldChar w:fldCharType="end"/>
    </w:r>
    <w:r>
      <w:tab/>
    </w:r>
    <w:r w:rsidRPr="005B0D19">
      <w:tab/>
    </w:r>
    <w:r w:rsidRPr="005B0D19">
      <w:rPr>
        <w:rFonts w:ascii="Arial" w:hAnsi="Arial" w:cs="Arial"/>
        <w:b/>
        <w:sz w:val="48"/>
      </w:rPr>
      <w:t>EL</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D19" w:rsidRPr="005B0D19" w:rsidRDefault="005B0D19" w:rsidP="005B0D19">
    <w:pPr>
      <w:pStyle w:val="af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D19" w:rsidRPr="005B0D19" w:rsidRDefault="005B0D19" w:rsidP="005B0D19">
    <w:pPr>
      <w:pStyle w:val="FooterLandscape"/>
      <w:rPr>
        <w:rFonts w:ascii="Arial" w:hAnsi="Arial" w:cs="Arial"/>
        <w:b/>
        <w:sz w:val="48"/>
      </w:rPr>
    </w:pPr>
    <w:r w:rsidRPr="005B0D19">
      <w:rPr>
        <w:rFonts w:ascii="Arial" w:hAnsi="Arial" w:cs="Arial"/>
        <w:b/>
        <w:sz w:val="48"/>
      </w:rPr>
      <w:t>EL</w:t>
    </w:r>
    <w:r w:rsidRPr="005B0D19">
      <w:rPr>
        <w:rFonts w:ascii="Arial" w:hAnsi="Arial" w:cs="Arial"/>
        <w:b/>
        <w:sz w:val="48"/>
      </w:rPr>
      <w:tab/>
    </w:r>
    <w:r w:rsidR="000F0BC5">
      <w:fldChar w:fldCharType="begin"/>
    </w:r>
    <w:r>
      <w:instrText xml:space="preserve"> PAGE  \* MERGEFORMAT </w:instrText>
    </w:r>
    <w:r w:rsidR="000F0BC5">
      <w:fldChar w:fldCharType="separate"/>
    </w:r>
    <w:r w:rsidR="003B5748">
      <w:rPr>
        <w:noProof/>
      </w:rPr>
      <w:t>120</w:t>
    </w:r>
    <w:r w:rsidR="000F0BC5">
      <w:fldChar w:fldCharType="end"/>
    </w:r>
    <w:r>
      <w:tab/>
    </w:r>
    <w:r w:rsidRPr="005B0D19">
      <w:tab/>
    </w:r>
    <w:r w:rsidRPr="005B0D19">
      <w:rPr>
        <w:rFonts w:ascii="Arial" w:hAnsi="Arial" w:cs="Arial"/>
        <w:b/>
        <w:sz w:val="48"/>
      </w:rPr>
      <w:t>EL</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D19" w:rsidRPr="005B0D19" w:rsidRDefault="005B0D19" w:rsidP="005B0D19">
    <w:pPr>
      <w:pStyle w:val="FooterLandscape"/>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D19" w:rsidRPr="005B0D19" w:rsidRDefault="005B0D19" w:rsidP="005B0D19">
    <w:pPr>
      <w:pStyle w:val="af4"/>
      <w:rPr>
        <w:rFonts w:ascii="Arial" w:hAnsi="Arial" w:cs="Arial"/>
        <w:b/>
        <w:sz w:val="48"/>
      </w:rPr>
    </w:pPr>
    <w:r w:rsidRPr="005B0D19">
      <w:rPr>
        <w:rFonts w:ascii="Arial" w:hAnsi="Arial" w:cs="Arial"/>
        <w:b/>
        <w:sz w:val="48"/>
      </w:rPr>
      <w:t>EL</w:t>
    </w:r>
    <w:r w:rsidRPr="005B0D19">
      <w:rPr>
        <w:rFonts w:ascii="Arial" w:hAnsi="Arial" w:cs="Arial"/>
        <w:b/>
        <w:sz w:val="48"/>
      </w:rPr>
      <w:tab/>
    </w:r>
    <w:r w:rsidR="000F0BC5">
      <w:fldChar w:fldCharType="begin"/>
    </w:r>
    <w:r>
      <w:instrText xml:space="preserve"> PAGE  \* MERGEFORMAT </w:instrText>
    </w:r>
    <w:r w:rsidR="000F0BC5">
      <w:fldChar w:fldCharType="separate"/>
    </w:r>
    <w:r w:rsidR="003B5748">
      <w:rPr>
        <w:noProof/>
      </w:rPr>
      <w:t>123</w:t>
    </w:r>
    <w:r w:rsidR="000F0BC5">
      <w:fldChar w:fldCharType="end"/>
    </w:r>
    <w:r>
      <w:tab/>
    </w:r>
    <w:r w:rsidRPr="005B0D19">
      <w:tab/>
    </w:r>
    <w:r w:rsidRPr="005B0D19">
      <w:rPr>
        <w:rFonts w:ascii="Arial" w:hAnsi="Arial" w:cs="Arial"/>
        <w:b/>
        <w:sz w:val="48"/>
      </w:rPr>
      <w:t>EL</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D19" w:rsidRPr="005B0D19" w:rsidRDefault="005B0D19" w:rsidP="005B0D19">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20F" w:rsidRDefault="0077520F">
      <w:pPr>
        <w:spacing w:before="0" w:after="0"/>
      </w:pPr>
      <w:r>
        <w:separator/>
      </w:r>
    </w:p>
  </w:footnote>
  <w:footnote w:type="continuationSeparator" w:id="0">
    <w:p w:rsidR="0077520F" w:rsidRDefault="0077520F">
      <w:pPr>
        <w:spacing w:before="0" w:after="0"/>
      </w:pPr>
      <w:r>
        <w:continuationSeparator/>
      </w:r>
    </w:p>
  </w:footnote>
  <w:footnote w:type="continuationNotice" w:id="1">
    <w:p w:rsidR="0077520F" w:rsidRDefault="0077520F">
      <w:pPr>
        <w:spacing w:before="0" w:after="0"/>
      </w:pPr>
    </w:p>
  </w:footnote>
  <w:footnote w:id="2">
    <w:p w:rsidR="00A57BFD" w:rsidRDefault="005B0D19">
      <w:pPr>
        <w:pStyle w:val="af5"/>
      </w:pPr>
      <w:r>
        <w:rPr>
          <w:rStyle w:val="af7"/>
        </w:rPr>
        <w:footnoteRef/>
      </w:r>
      <w:r>
        <w:tab/>
        <w:t>[COM(2018) 322 final- κανονισμός ΠΔΠ].</w:t>
      </w:r>
      <w:r>
        <w:rPr>
          <w:i/>
        </w:rPr>
        <w:t xml:space="preserve"> </w:t>
      </w:r>
      <w:r>
        <w:t xml:space="preserve"> </w:t>
      </w:r>
    </w:p>
  </w:footnote>
  <w:footnote w:id="3">
    <w:p w:rsidR="00A57BFD" w:rsidRDefault="005B0D19">
      <w:pPr>
        <w:pStyle w:val="af5"/>
        <w:rPr>
          <w:szCs w:val="18"/>
        </w:rPr>
      </w:pPr>
      <w:r>
        <w:rPr>
          <w:rStyle w:val="af7"/>
        </w:rPr>
        <w:footnoteRef/>
      </w:r>
      <w:r>
        <w:tab/>
        <w:t xml:space="preserve">Ορίζονται στο άρθρο 110 του κανονισμού (ΕΕ) αριθ. 1306/2013 του Ευρωπαϊκού Κοινοβουλίου και του Συμβουλίου της 17ης Δεκεμβρίου 2013 </w:t>
      </w:r>
      <w:hyperlink r:id="rId1">
        <w:r>
          <w:rPr>
            <w:color w:val="0000FF" w:themeColor="hyperlink"/>
            <w:u w:val="single"/>
          </w:rPr>
          <w:t>σχετικά με τη χρηματοδότηση, τη διαχείριση και την παρακολούθηση της κοινής γεωργικής πολιτικής και την κατάργηση των κανονισμών του Συμβουλίου</w:t>
        </w:r>
      </w:hyperlink>
      <w:r>
        <w:rPr>
          <w:color w:val="0000FF" w:themeColor="hyperlink"/>
          <w:u w:val="single"/>
        </w:rPr>
        <w:t xml:space="preserve"> </w:t>
      </w:r>
      <w:r>
        <w:t xml:space="preserve">και στον εκτελεστικό κανονισμό (ΕΕ) αριθ. 834/2014 της Επιτροπής, της 22ας Ιουλίου 2014, για τη θέσπιση κανόνων σχετικά με </w:t>
      </w:r>
      <w:hyperlink r:id="rId2">
        <w:r>
          <w:rPr>
            <w:color w:val="0000FF"/>
            <w:u w:val="single"/>
          </w:rPr>
          <w:t>την εφαρμογή του κοινού πλαισίου παρακολούθησης και αξιολόγησης της κοινής γεωργικής πολιτικής.</w:t>
        </w:r>
      </w:hyperlink>
    </w:p>
  </w:footnote>
  <w:footnote w:id="4">
    <w:p w:rsidR="00A57BFD" w:rsidRDefault="005B0D19">
      <w:pPr>
        <w:pStyle w:val="af5"/>
        <w:rPr>
          <w:szCs w:val="18"/>
        </w:rPr>
      </w:pPr>
      <w:r>
        <w:rPr>
          <w:rStyle w:val="af7"/>
        </w:rPr>
        <w:footnoteRef/>
      </w:r>
      <w:r>
        <w:tab/>
      </w:r>
      <w:hyperlink r:id="rId3">
        <w:r>
          <w:rPr>
            <w:color w:val="0000FF"/>
            <w:u w:val="single"/>
          </w:rPr>
          <w:t>Σχέδιο αξιολόγησης και μελετών</w:t>
        </w:r>
      </w:hyperlink>
      <w:r>
        <w:t xml:space="preserve"> της Ευρωπαϊκής Επιτροπής (2017) για την </w:t>
      </w:r>
      <w:r>
        <w:rPr>
          <w:color w:val="0000FF"/>
          <w:u w:val="single"/>
        </w:rPr>
        <w:t>περίοδο 2017-2021</w:t>
      </w:r>
      <w:r>
        <w:t>, Γενική Διεύθυνση Γεωργίας και Αγροτικής Ανάπτυξης</w:t>
      </w:r>
      <w:r>
        <w:rPr>
          <w:rStyle w:val="-"/>
        </w:rPr>
        <w:t>.</w:t>
      </w:r>
    </w:p>
  </w:footnote>
  <w:footnote w:id="5">
    <w:p w:rsidR="00A57BFD" w:rsidRDefault="005B0D19">
      <w:pPr>
        <w:pStyle w:val="af5"/>
      </w:pPr>
      <w:r>
        <w:rPr>
          <w:rStyle w:val="af7"/>
        </w:rPr>
        <w:footnoteRef/>
      </w:r>
      <w:r>
        <w:tab/>
        <w:t>Βλ.:</w:t>
      </w:r>
    </w:p>
    <w:p w:rsidR="00A57BFD" w:rsidRDefault="000F0BC5">
      <w:pPr>
        <w:pStyle w:val="af5"/>
        <w:rPr>
          <w:rFonts w:eastAsia="Times New Roman"/>
          <w:lang w:eastAsia="en-GB"/>
        </w:rPr>
      </w:pPr>
      <w:hyperlink r:id="rId4">
        <w:r w:rsidR="005B0D19">
          <w:rPr>
            <w:rStyle w:val="-"/>
          </w:rPr>
          <w:t>https://ec.europa.eu/agriculture/statistics/facts-and-figures_en</w:t>
        </w:r>
      </w:hyperlink>
    </w:p>
    <w:p w:rsidR="00A57BFD" w:rsidRDefault="000F0BC5">
      <w:pPr>
        <w:pStyle w:val="af5"/>
        <w:rPr>
          <w:rFonts w:eastAsia="Times New Roman"/>
          <w:lang w:eastAsia="en-GB"/>
        </w:rPr>
      </w:pPr>
      <w:hyperlink r:id="rId5">
        <w:r w:rsidR="005B0D19">
          <w:rPr>
            <w:rStyle w:val="-"/>
          </w:rPr>
          <w:t>https://ec.europa.eu/agriculture/sites/agriculture/files/consultations/cap-modernising/eco_background_final_en.pdf</w:t>
        </w:r>
      </w:hyperlink>
    </w:p>
    <w:p w:rsidR="00A57BFD" w:rsidRDefault="000F0BC5">
      <w:pPr>
        <w:pStyle w:val="af5"/>
        <w:rPr>
          <w:rFonts w:eastAsia="Times New Roman"/>
          <w:lang w:eastAsia="en-GB"/>
        </w:rPr>
      </w:pPr>
      <w:hyperlink r:id="rId6">
        <w:r w:rsidR="005B0D19">
          <w:rPr>
            <w:rStyle w:val="-"/>
          </w:rPr>
          <w:t>https://ec.europa.eu/agriculture/sites/agriculture/files/consultations/cap-modernising/env_background_final_en.pdf</w:t>
        </w:r>
      </w:hyperlink>
    </w:p>
    <w:p w:rsidR="00A57BFD" w:rsidRDefault="000F0BC5">
      <w:pPr>
        <w:pStyle w:val="af5"/>
      </w:pPr>
      <w:hyperlink r:id="rId7">
        <w:r w:rsidR="005B0D19">
          <w:rPr>
            <w:rStyle w:val="-"/>
          </w:rPr>
          <w:t>https://ec.europa.eu/agriculture/sites/agriculture/files/consultations/cap-modernising/soc_background_final_en.pdf</w:t>
        </w:r>
      </w:hyperlink>
    </w:p>
  </w:footnote>
  <w:footnote w:id="6">
    <w:p w:rsidR="00A57BFD" w:rsidRDefault="005B0D19">
      <w:pPr>
        <w:pStyle w:val="af5"/>
        <w:rPr>
          <w:szCs w:val="18"/>
          <w:highlight w:val="yellow"/>
        </w:rPr>
      </w:pPr>
      <w:r>
        <w:rPr>
          <w:rStyle w:val="af7"/>
        </w:rPr>
        <w:footnoteRef/>
      </w:r>
      <w:r>
        <w:tab/>
        <w:t xml:space="preserve">Έκθεση της ειδικής ομάδας για τις γεωργικές αγορές (έκθεση της AMTF) (2016). </w:t>
      </w:r>
      <w:hyperlink r:id="rId8">
        <w:r>
          <w:rPr>
            <w:color w:val="0000FF" w:themeColor="hyperlink"/>
            <w:u w:val="single"/>
          </w:rPr>
          <w:t>Βελτίωση των αποτελεσμάτων της αγοράς: ενίσχυση της θέσης των αγροτών στην αλυσίδα εφοδιασμού</w:t>
        </w:r>
      </w:hyperlink>
      <w:r>
        <w:rPr>
          <w:rStyle w:val="-"/>
        </w:rPr>
        <w:t>.</w:t>
      </w:r>
    </w:p>
  </w:footnote>
  <w:footnote w:id="7">
    <w:p w:rsidR="00A57BFD" w:rsidRDefault="005B0D19">
      <w:pPr>
        <w:pStyle w:val="af5"/>
        <w:rPr>
          <w:szCs w:val="18"/>
        </w:rPr>
      </w:pPr>
      <w:r>
        <w:rPr>
          <w:rStyle w:val="af7"/>
        </w:rPr>
        <w:footnoteRef/>
      </w:r>
      <w:r>
        <w:tab/>
        <w:t xml:space="preserve">Ευρωπαϊκή Επιτροπή (2016) </w:t>
      </w:r>
      <w:hyperlink r:id="rId9">
        <w:r>
          <w:rPr>
            <w:color w:val="0000FF"/>
            <w:u w:val="single"/>
          </w:rPr>
          <w:t>Cork 2.0: Ευρωπαϊκή Διάσκεψη για την Αγροτική Ανάπτυξη</w:t>
        </w:r>
      </w:hyperlink>
      <w:r>
        <w:rPr>
          <w:color w:val="0000FF"/>
          <w:u w:val="single"/>
        </w:rPr>
        <w:t>,</w:t>
      </w:r>
      <w:r>
        <w:t xml:space="preserve"> δικτυακός τόπος</w:t>
      </w:r>
      <w:r>
        <w:rPr>
          <w:rStyle w:val="-"/>
        </w:rPr>
        <w:t>.</w:t>
      </w:r>
    </w:p>
  </w:footnote>
  <w:footnote w:id="8">
    <w:p w:rsidR="00A57BFD" w:rsidRDefault="005B0D19">
      <w:pPr>
        <w:pStyle w:val="af5"/>
      </w:pPr>
      <w:r>
        <w:rPr>
          <w:rStyle w:val="af7"/>
        </w:rPr>
        <w:footnoteRef/>
      </w:r>
      <w:r>
        <w:tab/>
        <w:t>Διοργανική συμφωνία μεταξύ του Ευρωπαϊκού Κοινοβουλίου, του Συμβουλίου της Ευρωπαϊκής Ένωσης και της Ευρωπαϊκής Επιτροπής για τη βελτίωση του νομοθετικού έργου, της 13ης Απριλίου 2016· ΕΕ L 123 της 12.5.2016, σ. 1-14.</w:t>
      </w:r>
    </w:p>
  </w:footnote>
  <w:footnote w:id="9">
    <w:p w:rsidR="00A57BFD" w:rsidRDefault="005B0D19">
      <w:pPr>
        <w:pStyle w:val="af5"/>
      </w:pPr>
      <w:r>
        <w:rPr>
          <w:rStyle w:val="af7"/>
        </w:rPr>
        <w:footnoteRef/>
      </w:r>
      <w:r>
        <w:tab/>
        <w:t>ΕΕ C , , σ. .</w:t>
      </w:r>
    </w:p>
  </w:footnote>
  <w:footnote w:id="10">
    <w:p w:rsidR="00A57BFD" w:rsidRDefault="005B0D19">
      <w:pPr>
        <w:pStyle w:val="af5"/>
      </w:pPr>
      <w:r>
        <w:rPr>
          <w:rStyle w:val="af7"/>
        </w:rPr>
        <w:footnoteRef/>
      </w:r>
      <w:r>
        <w:tab/>
        <w:t>ΕΕ C , , σ. .</w:t>
      </w:r>
    </w:p>
  </w:footnote>
  <w:footnote w:id="11">
    <w:p w:rsidR="00A57BFD" w:rsidRDefault="005B0D19">
      <w:pPr>
        <w:pStyle w:val="af5"/>
      </w:pPr>
      <w:r>
        <w:rPr>
          <w:rStyle w:val="af7"/>
        </w:rPr>
        <w:footnoteRef/>
      </w:r>
      <w:r>
        <w:tab/>
        <w:t>Κανονισμός (ΕΕ).../... του Ευρωπαϊκού Κοινοβουλίου και του Συμβουλίου, της [...] [...] (ΕΕ L [...] της [...], σ. […]).</w:t>
      </w:r>
    </w:p>
  </w:footnote>
  <w:footnote w:id="12">
    <w:p w:rsidR="00A57BFD" w:rsidRDefault="005B0D19">
      <w:pPr>
        <w:pStyle w:val="af5"/>
      </w:pPr>
      <w:r>
        <w:rPr>
          <w:rStyle w:val="af7"/>
        </w:rPr>
        <w:footnoteRef/>
      </w:r>
      <w:r>
        <w:tab/>
        <w:t xml:space="preserve">Κανονισμός (EE) αριθ. 1306/2013 του Ευρωπαϊκού Κοινοβουλίου και του Συμβουλίου, της 17ης Δεκεμβρίου 2013, σχετικά με τη χρηματοδότηση, τη διαχείριση και την παρακολούθηση της κοινής γεωργικής πολιτικής και την κατάργηση των κανονισμών (ΕΟΚ) αριθ. 352/78, (ΕΚ) αριθ. 165/94, (ΕΚ) αριθ. 2799/98, (ΕΚ) αριθ. 814/2000, (ΕΚ) αριθ. 1290/2005 και (ΕΚ) αριθ. 485/2008 του Συμβουλίου (ΕΕ L 347 της 20.12.2013, σ. 549). </w:t>
      </w:r>
    </w:p>
  </w:footnote>
  <w:footnote w:id="13">
    <w:p w:rsidR="00A57BFD" w:rsidRDefault="005B0D19">
      <w:pPr>
        <w:pStyle w:val="af5"/>
      </w:pPr>
      <w:r>
        <w:rPr>
          <w:rStyle w:val="af7"/>
        </w:rPr>
        <w:footnoteRef/>
      </w:r>
      <w:r>
        <w:tab/>
        <w:t>Κανονισμός (ΕΕ, Ευρατόμ) αριθ. [νέος δημοσιονομικός κανονισμός].</w:t>
      </w:r>
    </w:p>
  </w:footnote>
  <w:footnote w:id="14">
    <w:p w:rsidR="00A57BFD" w:rsidRDefault="005B0D19">
      <w:pPr>
        <w:pStyle w:val="af5"/>
      </w:pPr>
      <w:r>
        <w:rPr>
          <w:rStyle w:val="af7"/>
        </w:rPr>
        <w:footnoteRef/>
      </w:r>
      <w:r>
        <w:tab/>
        <w:t>Κανονισμός (ΕΕ, Ευρατόμ) αριθ. [νέος κανονισμός ΠΔΠ]</w:t>
      </w:r>
    </w:p>
  </w:footnote>
  <w:footnote w:id="15">
    <w:p w:rsidR="00A57BFD" w:rsidRDefault="005B0D19">
      <w:pPr>
        <w:pStyle w:val="af5"/>
      </w:pPr>
      <w:r>
        <w:rPr>
          <w:rStyle w:val="af7"/>
        </w:rPr>
        <w:footnoteRef/>
      </w:r>
      <w:r>
        <w:tab/>
        <w:t>Κανονισμός (ΕΕ).../... του Ευρωπαϊκού Κοινοβουλίου και του Συμβουλίου, της [...] [...] (ΕΕ L [...] της [...], σ. […]).</w:t>
      </w:r>
    </w:p>
  </w:footnote>
  <w:footnote w:id="16">
    <w:p w:rsidR="00A57BFD" w:rsidRDefault="005B0D19">
      <w:pPr>
        <w:pStyle w:val="af5"/>
      </w:pPr>
      <w:r>
        <w:rPr>
          <w:rStyle w:val="af7"/>
        </w:rPr>
        <w:footnoteRef/>
      </w:r>
      <w:r>
        <w:tab/>
        <w:t>Κανονισμός (ΕΕ, Ευρατόμ) αριθ. 883/2013 του Ευρωπαϊκού Κοινοβουλίου και του Συμβουλίου, της 11ης Σεπτεμβρίου 2013, σχετικά με τις έρευνες που πραγματοποιούνται από την Ευρωπαϊκή Υπηρεσία Καταπολέμησης της Απάτης (OLAF) και την κατάργηση του κανονισμού (ΕΚ) αριθ. 1073/1999 του Ευρωπαϊκού Κοινοβουλίου και του Συμβουλίου και του κανονισμού (Ευρατόμ) αριθ. 1074/1999 του Συμβουλίου (ΕΕ L 248 της 18.9.2013, σ. 1).</w:t>
      </w:r>
    </w:p>
  </w:footnote>
  <w:footnote w:id="17">
    <w:p w:rsidR="00A57BFD" w:rsidRDefault="005B0D19">
      <w:pPr>
        <w:pStyle w:val="af5"/>
      </w:pPr>
      <w:r>
        <w:rPr>
          <w:rStyle w:val="af7"/>
        </w:rPr>
        <w:footnoteRef/>
      </w:r>
      <w:r>
        <w:tab/>
        <w:t>Κανονισμός (ΕΚ) αριθ. 2988/95 του Συμβουλίου, της 18ης Δεκεμβρίου 1995, για το κοινοτικό σήμα (ΕΕ L 312 της 23.12.95, σ. 1).</w:t>
      </w:r>
    </w:p>
  </w:footnote>
  <w:footnote w:id="18">
    <w:p w:rsidR="00A57BFD" w:rsidRDefault="005B0D19">
      <w:pPr>
        <w:pStyle w:val="af5"/>
        <w:rPr>
          <w:lang w:val="lv-LV"/>
        </w:rPr>
      </w:pPr>
      <w:r>
        <w:rPr>
          <w:rStyle w:val="af7"/>
        </w:rPr>
        <w:footnoteRef/>
      </w:r>
      <w:r>
        <w:tab/>
        <w:t>Κανονισμός (Ευρατόμ, ΕΚ) αριθ. 2185/96 του Συμβουλίου, της 11ης Νοεμβρίου 1996, σχετικά με τους ελέγχους και εξακριβώσεις που διεξάγει επιτοπίως η Επιτροπή με σκοπό την προστασία των οικονομικών συμφερόντων των Ευρωπαϊκών Κοινοτήτων από απάτες και λοιπές παρατυπίες (ΕΕ L 292 της 15.11.1996, σ. 2).</w:t>
      </w:r>
    </w:p>
  </w:footnote>
  <w:footnote w:id="19">
    <w:p w:rsidR="00A57BFD" w:rsidRDefault="005B0D19">
      <w:pPr>
        <w:pStyle w:val="af5"/>
      </w:pPr>
      <w:r>
        <w:rPr>
          <w:rStyle w:val="af7"/>
        </w:rPr>
        <w:footnoteRef/>
      </w:r>
      <w:r>
        <w:tab/>
        <w:t>Κανονισμός (ΕΕ) 2017/1939 του Συμβουλίου, της 12ης Οκτωβρίου 2017, σχετικά με την εφαρμογή ενισχυμένης συνεργασίας για τη σύσταση της Ευρωπαϊκής Εισαγγελίας (ΕΕ L 283 της 31.10.2017, σ. 1).</w:t>
      </w:r>
    </w:p>
  </w:footnote>
  <w:footnote w:id="20">
    <w:p w:rsidR="00A57BFD" w:rsidRDefault="005B0D19">
      <w:pPr>
        <w:pStyle w:val="af5"/>
      </w:pPr>
      <w:r>
        <w:rPr>
          <w:rStyle w:val="af7"/>
        </w:rPr>
        <w:footnoteRef/>
      </w:r>
      <w:r>
        <w:tab/>
        <w:t>Οδηγία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(ΕΕ L 198 της 28.7.2017, σ. 29).</w:t>
      </w:r>
    </w:p>
  </w:footnote>
  <w:footnote w:id="21">
    <w:p w:rsidR="00A57BFD" w:rsidRDefault="005B0D19">
      <w:pPr>
        <w:pStyle w:val="af5"/>
      </w:pPr>
      <w:r>
        <w:rPr>
          <w:rStyle w:val="af7"/>
        </w:rPr>
        <w:footnoteRef/>
      </w:r>
      <w:r>
        <w:tab/>
        <w:t>Κανονισμός (ΕΕ) αριθ. 228/2013 του Ευρωπαϊκού Κοινοβουλίου και του Συμβουλίου, της 13ης Μαρτίου 2013, για τον καθορισμό ειδικών μέτρων για τη γεωργία στις εξόχως απόκεντρες περιοχές της Ένωσης και για την κατάργηση του κανονισμού (ΕΚ) αριθ. 247/2006 του Συμβουλίου (ΕΕ L 78 της 20.3.2013, σ. 23).</w:t>
      </w:r>
    </w:p>
  </w:footnote>
  <w:footnote w:id="22">
    <w:p w:rsidR="00A57BFD" w:rsidRDefault="005B0D19">
      <w:pPr>
        <w:pStyle w:val="af5"/>
        <w:rPr>
          <w:lang w:val="cs-CZ"/>
        </w:rPr>
      </w:pPr>
      <w:r>
        <w:rPr>
          <w:rStyle w:val="af7"/>
        </w:rPr>
        <w:footnoteRef/>
      </w:r>
      <w:r>
        <w:tab/>
        <w:t xml:space="preserve">Κανονισμός (ΕΕ) αριθ. 229/2013 του Ευρωπαϊκού Κοινοβουλίου και του Συμβουλίου, της 13ης Μαρτίου 2013, σχετικά με τον καθορισμό ειδικών μέτρων για τη γεωργία στα μικρά νησιά του Αιγαίου και για την κατάργηση του κανονισμού (ΕΚ) αριθ. 1405/2006 του Συμβουλίου (ΕΕ L 78 της 20.3.2013, σ. 41). </w:t>
      </w:r>
    </w:p>
  </w:footnote>
  <w:footnote w:id="23">
    <w:p w:rsidR="00A57BFD" w:rsidRDefault="005B0D19">
      <w:pPr>
        <w:pStyle w:val="af5"/>
      </w:pPr>
      <w:r>
        <w:rPr>
          <w:rStyle w:val="af7"/>
        </w:rPr>
        <w:footnoteRef/>
      </w:r>
      <w:r>
        <w:tab/>
        <w:t xml:space="preserve">Κανονισμός (ΕΚ) αριθ. 45/2001 του Ευρωπαϊκού Κοινοβουλίου και του Συμβουλίου, της 18ης Δεκεμβρίου 2000, σχετικά με την προστασία των φυσικών προσώπων έναντι της επεξεργασίας δεδομένων προσωπικού χαρακτήρα από τα όργανα και τους οργανισμούς της Κοινότητας και σχετικά με την ελεύθερη κυκλοφορία των δεδομένων αυτών (ΕΕ L 8 της 12.1.2001, σ. 1). </w:t>
      </w:r>
    </w:p>
  </w:footnote>
  <w:footnote w:id="24">
    <w:p w:rsidR="00A57BFD" w:rsidRDefault="005B0D19">
      <w:pPr>
        <w:pStyle w:val="af5"/>
      </w:pPr>
      <w:r>
        <w:rPr>
          <w:rStyle w:val="af7"/>
        </w:rPr>
        <w:footnoteRef/>
      </w:r>
      <w:r>
        <w:tab/>
        <w:t>Κανονισμός (EΕ)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(ΕΕ L 119 της 4.5.2016, σ. 1).</w:t>
      </w:r>
    </w:p>
  </w:footnote>
  <w:footnote w:id="25">
    <w:p w:rsidR="00A57BFD" w:rsidRDefault="005B0D19">
      <w:pPr>
        <w:pStyle w:val="af5"/>
      </w:pPr>
      <w:r>
        <w:rPr>
          <w:rStyle w:val="af7"/>
        </w:rPr>
        <w:footnoteRef/>
      </w:r>
      <w:r>
        <w:tab/>
        <w:t>Κανονισμός (ΕΕ) αριθ. …/…</w:t>
      </w:r>
    </w:p>
  </w:footnote>
  <w:footnote w:id="26">
    <w:p w:rsidR="00A57BFD" w:rsidRDefault="005B0D19">
      <w:pPr>
        <w:pStyle w:val="af5"/>
      </w:pPr>
      <w:r>
        <w:rPr>
          <w:rStyle w:val="af7"/>
        </w:rPr>
        <w:footnoteRef/>
      </w:r>
      <w:r>
        <w:tab/>
        <w:t xml:space="preserve">Κανονισμός (ΕΕ) αριθ. 952/2013 του Ευρωπαϊκού Κοινοβουλίου και του Συμβουλίου, της 9ης Οκτωβρίου 2013, για τη θέσπιση του ενωσιακού τελωνειακού κώδικα (ΕΕ L 269 της 10.10.2013, σ. 1). </w:t>
      </w:r>
    </w:p>
  </w:footnote>
  <w:footnote w:id="27">
    <w:p w:rsidR="00A57BFD" w:rsidRDefault="005B0D19">
      <w:pPr>
        <w:pStyle w:val="af5"/>
      </w:pPr>
      <w:r>
        <w:rPr>
          <w:rStyle w:val="af7"/>
        </w:rPr>
        <w:footnoteRef/>
      </w:r>
      <w:r>
        <w:tab/>
        <w:t xml:space="preserve">Κανονισμός (ΕΕ) αριθ. 182/2011 του Ευρωπαϊκού Κοινοβουλίου και του Συμβουλίου, της 16ης Φεβρουαρίου 2011, για τη θέσπιση κανόνων και γενικών αρχών σχετικά με τους τρόπους ελέγχου από τα κράτη μέλη της άσκησης εκτελεστικών αρμοδιοτήτων από την Επιτροπή (ΕΕ L 55 της 28.2.2011, σ. 13). </w:t>
      </w:r>
    </w:p>
  </w:footnote>
  <w:footnote w:id="28">
    <w:p w:rsidR="00A57BFD" w:rsidRDefault="005B0D19">
      <w:pPr>
        <w:pStyle w:val="af5"/>
      </w:pPr>
      <w:r>
        <w:rPr>
          <w:rStyle w:val="af7"/>
        </w:rPr>
        <w:footnoteRef/>
      </w:r>
      <w:r>
        <w:tab/>
        <w:t>ΕΕ C  της , σ. […]. .</w:t>
      </w:r>
    </w:p>
  </w:footnote>
  <w:footnote w:id="29">
    <w:p w:rsidR="00A57BFD" w:rsidRDefault="005B0D19">
      <w:pPr>
        <w:pStyle w:val="af5"/>
      </w:pPr>
      <w:r>
        <w:rPr>
          <w:rStyle w:val="af7"/>
        </w:rPr>
        <w:footnoteRef/>
      </w:r>
      <w:r>
        <w:tab/>
        <w:t xml:space="preserve">Κανονισμός (EE) αριθ. 1308/2013 του Ευρωπαϊκού Κοινοβουλίου και του Συμβουλίου, της 17ης Δεκεμβρίου 2013, για τη θέσπιση κοινής οργάνωσης των αγορών γεωργικών προϊόντων και την κατάργηση των κανονισμών (ΕΟΚ) αριθ. 922/72, (ΕΟΚ) αριθ. 234/79, (ΕΚ) αριθ. 1037/2001 και (ΕΚ) αριθ. 1234/2007 του Συμβουλίου (ΕΕ L 347 της 20.12.2013, σ. 671).  </w:t>
      </w:r>
    </w:p>
  </w:footnote>
  <w:footnote w:id="30">
    <w:p w:rsidR="00A57BFD" w:rsidRDefault="005B0D19">
      <w:pPr>
        <w:pStyle w:val="af5"/>
      </w:pPr>
      <w:r>
        <w:rPr>
          <w:rStyle w:val="af7"/>
        </w:rPr>
        <w:footnoteRef/>
      </w:r>
      <w:r>
        <w:tab/>
        <w:t>Κανονισμός (ΕΚ) αριθ. 58/2003 του Συμβουλίου, της 19ης Δεκεμβρίου 2002, περί θεσπίσεως του καταστατικού των εκτελεστικών οργανισμών που είναι επιφορτισμένοι με ορισμένα καθήκοντα σχετικά με τη διαχείριση κοινοτικών προγραμμάτων (ΕΕ L 11 της 16.1.2003, σ. 1).</w:t>
      </w:r>
    </w:p>
  </w:footnote>
  <w:footnote w:id="31">
    <w:p w:rsidR="00A57BFD" w:rsidRDefault="005B0D19">
      <w:pPr>
        <w:pStyle w:val="af5"/>
      </w:pPr>
      <w:r>
        <w:rPr>
          <w:rStyle w:val="af7"/>
        </w:rPr>
        <w:footnoteRef/>
      </w:r>
      <w:r>
        <w:tab/>
        <w:t xml:space="preserve">Κανονισμός (EE) αριθ. 1151/2012 του Ευρωπαϊκού Κοινοβουλίου και του Συμβουλίου, της 21ης Νοεμβρίου 2012, για τα συστήματα ποιότητας των γεωργικών προϊόντων και τροφίμων (ΕΕ L 343 της 14.12.2012, σ. 1).  </w:t>
      </w:r>
    </w:p>
  </w:footnote>
  <w:footnote w:id="32">
    <w:p w:rsidR="00A57BFD" w:rsidRDefault="005B0D19">
      <w:pPr>
        <w:pStyle w:val="af5"/>
      </w:pPr>
      <w:r>
        <w:rPr>
          <w:rStyle w:val="af7"/>
        </w:rPr>
        <w:footnoteRef/>
      </w:r>
      <w:r>
        <w:tab/>
        <w:t>Κανονισμός (ΕΕ) αριθ. 228/2013 του Ευρωπαϊκού Κοινοβουλίου και του Συμβουλίου, της 13ης Μαρτίου 2013, για τον καθορισμό ειδικών μέτρων για τη γεωργία στις εξόχως απόκεντρες περιοχές της Ένωσης και για την κατάργηση του κανονισμού (ΕΚ) αριθ. 247/2006 του Συμβουλίου (ΕΕ L 78 της 20.3.2013, σ. 23).</w:t>
      </w:r>
    </w:p>
  </w:footnote>
  <w:footnote w:id="33">
    <w:p w:rsidR="00A57BFD" w:rsidRDefault="005B0D19">
      <w:pPr>
        <w:pStyle w:val="af5"/>
      </w:pPr>
      <w:r>
        <w:rPr>
          <w:rStyle w:val="af7"/>
        </w:rPr>
        <w:footnoteRef/>
      </w:r>
      <w:r>
        <w:tab/>
        <w:t>Κανονισμός (ΕΕ) αριθ. 229/2013 του Ευρωπαϊκού Κοινοβουλίου και του Συμβουλίου, της 13ης Μαρτίου 2013, σχετικά με τον καθορισμό ειδικών μέτρων για τη γεωργία στα μικρά νησιά του Αιγαίου και για την κατάργηση του κανονισμού (ΕΚ) αριθ. 1405/2006 του Συμβουλίου (ΕΕ L 78 της 20.3.2013, σ. 41).</w:t>
      </w:r>
    </w:p>
  </w:footnote>
  <w:footnote w:id="34">
    <w:p w:rsidR="00A57BFD" w:rsidRDefault="005B0D19">
      <w:pPr>
        <w:pStyle w:val="af5"/>
      </w:pPr>
      <w:r>
        <w:rPr>
          <w:rStyle w:val="af7"/>
        </w:rPr>
        <w:footnoteRef/>
      </w:r>
      <w:r>
        <w:tab/>
        <w:t>Κανονισμός (ΕΚ) αριθ. 1760/2000 του Ευρωπαϊκού Κοινοβουλίου και του Συμβουλίου, της 17ης Ιουλίου 2000, για τη θέσπιση συστήματος αναγνώρισης και καταγραφής των βοοειδών και την επισήμανση του βοείου κρέατος και των προϊόντων με βάση το βόειο κρέας, καθώς και για την κατάργηση του κανονισμού (ΕΚ) αριθ. 820/97 του Συμβουλίου (ΕΕ L 204 της 11.8.2000, σ. 1).</w:t>
      </w:r>
    </w:p>
  </w:footnote>
  <w:footnote w:id="35">
    <w:p w:rsidR="00A57BFD" w:rsidRDefault="005B0D19">
      <w:pPr>
        <w:pStyle w:val="af5"/>
      </w:pPr>
      <w:r>
        <w:rPr>
          <w:rStyle w:val="af7"/>
        </w:rPr>
        <w:footnoteRef/>
      </w:r>
      <w:r>
        <w:tab/>
        <w:t>Κανονισμός (ΕΚ) αριθ. 21/2004 του Συμβουλίου, της 17ης Δεκεμβρίου 2003, για τη θέσπιση συστήματος αναγνώρισης και καταγραφής των αιγοπροβάτων και για την τροποποίηση του κανονισμού (ΕΚ) αριθ. 1782/2003 και των οδηγιών 92/102/ΕΟΚ και 64/432/ΕΟΚ (ΕΕ L 5 της 9.1.2004, σ. 8).</w:t>
      </w:r>
    </w:p>
  </w:footnote>
  <w:footnote w:id="36">
    <w:p w:rsidR="00A57BFD" w:rsidRDefault="005B0D19">
      <w:pPr>
        <w:pStyle w:val="af5"/>
      </w:pPr>
      <w:r>
        <w:rPr>
          <w:rStyle w:val="af7"/>
        </w:rPr>
        <w:footnoteRef/>
      </w:r>
      <w:r>
        <w:tab/>
        <w:t xml:space="preserve">Οδηγία 2007/2/ΕΚ του Ευρωπαϊκού Κοινοβουλίου και του Συμβουλίου, της 14ης Μαρτίου 2007, </w:t>
      </w:r>
      <w:r>
        <w:rPr>
          <w:color w:val="444444"/>
        </w:rPr>
        <w:t>για τη δημιουργία υποδομής χωρικών πληροφοριών στην Ευρωπαϊκή Κοινότητα (INSPIRE) (ΕΕ L 108 της 25.4.2007, σ. 1).</w:t>
      </w:r>
    </w:p>
  </w:footnote>
  <w:footnote w:id="37">
    <w:p w:rsidR="00A57BFD" w:rsidRDefault="005B0D19">
      <w:pPr>
        <w:pStyle w:val="af5"/>
      </w:pPr>
      <w:r>
        <w:rPr>
          <w:rStyle w:val="af7"/>
        </w:rPr>
        <w:footnoteRef/>
      </w:r>
      <w:r>
        <w:tab/>
        <w:t xml:space="preserve">Κανονισμός (ΕΚ) αριθ. 223/2009 του Ευρωπαϊκού Κοινοβουλίου και του Συμβουλίου, της 11ης Μαρτίου 2009, </w:t>
      </w:r>
      <w:r>
        <w:rPr>
          <w:color w:val="000000"/>
        </w:rPr>
        <w:t>σχετικά με τις ευρωπαϊκές στατιστικές και την κατάργηση του κανονισμού (ΕΚ, Ευρατόμ) αριθ. 1101/2008 του Ευρωπαϊκού Κοινοβουλίου και του Συμβουλίου σχετικά με τη διαβίβαση στη Στατιστική Υπηρεσία των Ευρωπαϊκών Κοινοτήτων πληροφοριών που καλύπτονται από το στατιστικό απόρρητο, του κανονισμού (ΕΚ) αριθ. 322/97 του Συμβουλίου σχετικά με τις κοινοτικές στατιστικές και της απόφασης 89/382/ΕΟΚ, Ευρατόμ του Συμβουλίου για τη σύσταση επιτροπής του στατιστικού προγράμματος των Ευρωπαϊκών Κοινοτήτων (ΕΕ L 87 της 31.3.2009, σ. 164).</w:t>
      </w:r>
    </w:p>
  </w:footnote>
  <w:footnote w:id="38">
    <w:p w:rsidR="00A57BFD" w:rsidRDefault="005B0D19">
      <w:pPr>
        <w:pStyle w:val="af5"/>
        <w:rPr>
          <w:lang w:val="cs-CZ"/>
        </w:rPr>
      </w:pPr>
      <w:r>
        <w:rPr>
          <w:rStyle w:val="af7"/>
        </w:rPr>
        <w:footnoteRef/>
      </w:r>
      <w:r>
        <w:tab/>
        <w:t>Κανονισμός (ΕΕ).../... του Ευρωπαϊκού Κοινοβουλίου και του Συμβουλίου, της [...] [...] (ΕΕ L [...] της [...], σ. […]).</w:t>
      </w:r>
    </w:p>
  </w:footnote>
  <w:footnote w:id="39">
    <w:p w:rsidR="00A57BFD" w:rsidRDefault="005B0D19">
      <w:pPr>
        <w:pStyle w:val="af5"/>
        <w:rPr>
          <w:szCs w:val="24"/>
        </w:rPr>
      </w:pPr>
      <w:r>
        <w:rPr>
          <w:rStyle w:val="af7"/>
        </w:rPr>
        <w:footnoteRef/>
      </w:r>
      <w:r>
        <w:tab/>
        <w:t>Όπως αναφέρεται στο άρθρο 58 παράγραφος 2 στοιχείο α) ή β) του δημοσιονομικού κανονισμού.</w:t>
      </w:r>
    </w:p>
  </w:footnote>
  <w:footnote w:id="40">
    <w:p w:rsidR="00A57BFD" w:rsidRDefault="005B0D19">
      <w:pPr>
        <w:pStyle w:val="af5"/>
        <w:jc w:val="left"/>
        <w:rPr>
          <w:szCs w:val="24"/>
        </w:rPr>
      </w:pPr>
      <w:r>
        <w:rPr>
          <w:rStyle w:val="af7"/>
        </w:rPr>
        <w:footnoteRef/>
      </w:r>
      <w:r>
        <w:tab/>
        <w:t xml:space="preserve">Οι λεπτομέρειες σχετικά με τους τρόπους διαχείρισης, καθώς και οι παραπομπές στον δημοσιονομικό κανονισμό είναι διαθέσιμες στον δικτυακό τόπο BudgWeb: </w:t>
      </w:r>
      <w:hyperlink r:id="rId10">
        <w:r>
          <w:rPr>
            <w:rStyle w:val="-"/>
          </w:rPr>
          <w:t>https://myintracomm.ec.europa.eu/budgweb/EN/man/budgmanag/Pages/budgmanag.aspx</w:t>
        </w:r>
      </w:hyperlink>
      <w:r>
        <w:t xml:space="preserve"> </w:t>
      </w:r>
    </w:p>
  </w:footnote>
  <w:footnote w:id="41">
    <w:p w:rsidR="00A57BFD" w:rsidRDefault="005B0D19">
      <w:pPr>
        <w:pStyle w:val="af5"/>
      </w:pPr>
      <w:r>
        <w:rPr>
          <w:rStyle w:val="af7"/>
        </w:rPr>
        <w:footnoteRef/>
      </w:r>
      <w:r>
        <w:tab/>
        <w:t>Ορισμένες από τις υφιστάμενες γραμμές του προϋπολογισμού πρέπει να διατηρηθούν και η αρίθμηση πρέπει να προσαρμοστεί στη νέα ονοματολογία του προϋπολογισμού (π.χ. τα νυν κεφάλαια 05 07 και 05 08). Μετά την εκπόνηση της πρότασης για την ΚΓΠ, θα μπορούσε να προσαρμοστεί η πρόταση για την ονοματολογία.</w:t>
      </w:r>
    </w:p>
  </w:footnote>
  <w:footnote w:id="42">
    <w:p w:rsidR="00A57BFD" w:rsidRDefault="005B0D19">
      <w:pPr>
        <w:pStyle w:val="af5"/>
        <w:rPr>
          <w:szCs w:val="24"/>
        </w:rPr>
      </w:pPr>
      <w:r>
        <w:rPr>
          <w:rStyle w:val="af7"/>
        </w:rPr>
        <w:footnoteRef/>
      </w:r>
      <w:r>
        <w:tab/>
        <w:t>ΔΠ = Διαχωριζόμενες πιστώσεις / ΜΔΠ = Μη διαχωριζόμενες πιστώσεις.</w:t>
      </w:r>
    </w:p>
  </w:footnote>
  <w:footnote w:id="43">
    <w:p w:rsidR="00A57BFD" w:rsidRDefault="005B0D19">
      <w:pPr>
        <w:pStyle w:val="af5"/>
        <w:rPr>
          <w:szCs w:val="24"/>
        </w:rPr>
      </w:pPr>
      <w:r>
        <w:rPr>
          <w:rStyle w:val="af7"/>
        </w:rPr>
        <w:footnoteRef/>
      </w:r>
      <w:r>
        <w:tab/>
        <w:t xml:space="preserve">ΕΖΕΣ: Ευρωπαϊκή Ζώνη Ελεύθερων Συναλλαγών. </w:t>
      </w:r>
    </w:p>
  </w:footnote>
  <w:footnote w:id="44">
    <w:p w:rsidR="00A57BFD" w:rsidRDefault="005B0D19">
      <w:pPr>
        <w:pStyle w:val="af5"/>
      </w:pPr>
      <w:r>
        <w:rPr>
          <w:rStyle w:val="af7"/>
        </w:rPr>
        <w:footnoteRef/>
      </w:r>
      <w:r>
        <w:tab/>
        <w:t>Υποψήφιες χώρες και, κατά περίπτωση, δυνάμει υποψήφιες για ένταξη χώρες των Δυτικών Βαλκανίων.</w:t>
      </w:r>
    </w:p>
  </w:footnote>
  <w:footnote w:id="45">
    <w:p w:rsidR="00A57BFD" w:rsidRDefault="005B0D19">
      <w:pPr>
        <w:pStyle w:val="af5"/>
      </w:pPr>
      <w:r>
        <w:rPr>
          <w:rStyle w:val="af7"/>
        </w:rPr>
        <w:footnoteRef/>
      </w:r>
      <w:r>
        <w:tab/>
        <w:t xml:space="preserve">Μια αύξηση των τομεακών παρεμβάσεων στο πλαίσιο του σχεδίου της ΚΓΠ εξηγείται από την κατανομή που προτείνεται για τη στήριξη του μελισσοκομικού τομέα, ύψους 60 εκατ. EUR, καθώς και από την εξέλιξη των δαπανών στον τομέα των οπωροκηπευτικών, που δεν περιορίζεται από κονδύλιο σε επίπεδο ΕΕ, μετά το παρατηρηθέν κατά το παρελθόν επίπεδο εκτέλεσης. </w:t>
      </w:r>
    </w:p>
  </w:footnote>
  <w:footnote w:id="46">
    <w:p w:rsidR="00A57BFD" w:rsidRDefault="005B0D19">
      <w:pPr>
        <w:pStyle w:val="af5"/>
      </w:pPr>
      <w:r>
        <w:rPr>
          <w:rStyle w:val="af7"/>
        </w:rPr>
        <w:footnoteRef/>
      </w:r>
      <w:r>
        <w:tab/>
        <w:t>Περιλαμβάνει επίσης τα ποσά που χρηματοδοτούνται επί του παρόντος από τα κεφάλαια 05 07 (Λογιστικός έλεγχος των γεωργικών δαπανών) και 05 08 (Στρατηγική και συντονισμός πολιτικής του τομέα πολιτικής «Γεωργία και αγροτική ανάπτυξη).</w:t>
      </w:r>
    </w:p>
  </w:footnote>
  <w:footnote w:id="47">
    <w:p w:rsidR="00A57BFD" w:rsidRDefault="005B0D19">
      <w:pPr>
        <w:pStyle w:val="af5"/>
      </w:pPr>
      <w:r>
        <w:rPr>
          <w:rStyle w:val="af7"/>
        </w:rPr>
        <w:footnoteRef/>
      </w:r>
      <w:r>
        <w:tab/>
        <w:t>Για λόγους απλοποίησης, οι πιστώσεις για τεχνική συνδρομή του ΕΓΤΕ θεωρούνται εδώ ως μη διαφοροποιημένες. Το ποσό των υπολοίπων προς εκκαθάριση τείνει να είναι αμελητέο σε σύγκριση με τα συνολικά ποσά που αφορά το παρόν δημοσιονομικό δελτίο.</w:t>
      </w:r>
    </w:p>
  </w:footnote>
  <w:footnote w:id="48">
    <w:p w:rsidR="00A57BFD" w:rsidRDefault="005B0D19">
      <w:pPr>
        <w:pStyle w:val="af5"/>
      </w:pPr>
      <w:r>
        <w:rPr>
          <w:rStyle w:val="af7"/>
        </w:rPr>
        <w:footnoteRef/>
      </w:r>
      <w:r>
        <w:tab/>
        <w:t>Συμπεριλαμβανομένων των ποσών που χρηματοδοτούνται επί του παρόντος από τη θέση 05 01 04 01 – Δαπάνες στήριξης για το Ευρωπαϊκό Γεωργικό Ταμείο Εγγυήσεων (ΕΓΤΕ) – Μη επιχειρησιακή τεχνική βοήθεια και από τη θέση 05 01 06 01 – Εκτελεστικός Οργανισμός για τους Καταναλωτές, την Υγεία, τη Γεωργία και τα Τρόφιμα – Συνεισφορά από το πρόγραμμα προώθησης της γεωργίας</w:t>
      </w:r>
    </w:p>
  </w:footnote>
  <w:footnote w:id="49">
    <w:p w:rsidR="00A57BFD" w:rsidRDefault="005B0D19">
      <w:pPr>
        <w:pStyle w:val="af5"/>
      </w:pPr>
      <w:r>
        <w:rPr>
          <w:rStyle w:val="af7"/>
        </w:rPr>
        <w:footnoteRef/>
      </w:r>
      <w:r>
        <w:tab/>
        <w:t>Για λόγους απλοποίησης, οι πιστώσεις για τεχνική βοήθεια του ΕΓΤΑΑ θεωρούνται εδώ ως μη διαφοροποιημένες. Το ποσό των υπολοίπων προς εκκαθάριση τείνει να είναι αμελητέο σε σύγκριση με τα συνολικά ποσά που αφορά το παρόν δημοσιονομικό δελτίο.</w:t>
      </w:r>
    </w:p>
  </w:footnote>
  <w:footnote w:id="50">
    <w:p w:rsidR="00A57BFD" w:rsidRDefault="005B0D19">
      <w:pPr>
        <w:pStyle w:val="af5"/>
        <w:rPr>
          <w:szCs w:val="24"/>
        </w:rPr>
      </w:pPr>
      <w:r>
        <w:rPr>
          <w:rStyle w:val="af7"/>
        </w:rPr>
        <w:footnoteRef/>
      </w:r>
      <w:r>
        <w:tab/>
        <w:t>Τεχνική και/ή διοικητική βοήθεια και δαπάνες στήριξης της εφαρμογής προγραμμάτων και/ή δράσεων της ΕΕ (πρώην γραμμές «BA»), έμμεση έρευνα, άμεση έρευνα.</w:t>
      </w:r>
    </w:p>
  </w:footnote>
  <w:footnote w:id="51">
    <w:p w:rsidR="00A57BFD" w:rsidRDefault="005B0D19">
      <w:pPr>
        <w:pStyle w:val="af5"/>
        <w:rPr>
          <w:szCs w:val="24"/>
        </w:rPr>
      </w:pPr>
      <w:r>
        <w:rPr>
          <w:rStyle w:val="af7"/>
        </w:rPr>
        <w:footnoteRef/>
      </w:r>
      <w:r>
        <w:tab/>
        <w:t xml:space="preserve">AC = Συμβασιούχος υπάλληλος· AL = Τοπικός υπάλληλος· END = Αποσπασμένος εθνικός εμπειρογνώμονας· INT = Προσωρινό προσωπικό· JPD = Νέος επαγγελματίας σε αντιπροσωπεία της ΕΕ. </w:t>
      </w:r>
    </w:p>
  </w:footnote>
  <w:footnote w:id="52">
    <w:p w:rsidR="00A57BFD" w:rsidRDefault="005B0D19">
      <w:pPr>
        <w:pStyle w:val="af5"/>
        <w:rPr>
          <w:szCs w:val="24"/>
        </w:rPr>
      </w:pPr>
      <w:r>
        <w:rPr>
          <w:rStyle w:val="af7"/>
        </w:rPr>
        <w:footnoteRef/>
      </w:r>
      <w:r>
        <w:tab/>
        <w:t>Επιμέρους ανώτατο όριο εξωτερικού προσωπικού που καλύπτεται από επιχειρησιακές πιστώσεις (πρώην γραμμές «BA»).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D19" w:rsidRPr="005B0D19" w:rsidRDefault="005B0D19" w:rsidP="005B0D19">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D19" w:rsidRPr="005B0D19" w:rsidRDefault="005B0D19" w:rsidP="005B0D19">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D19" w:rsidRPr="005B0D19" w:rsidRDefault="005B0D19" w:rsidP="005B0D19">
    <w:pPr>
      <w:pStyle w:val="af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D19" w:rsidRPr="005B0D19" w:rsidRDefault="005B0D19" w:rsidP="005B0D19">
    <w:pPr>
      <w:pStyle w:val="HeaderLandscap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D19" w:rsidRPr="005B0D19" w:rsidRDefault="005B0D19" w:rsidP="005B0D19">
    <w:pPr>
      <w:pStyle w:val="HeaderLandscap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D19" w:rsidRPr="005B0D19" w:rsidRDefault="005B0D19" w:rsidP="005B0D19">
    <w:pPr>
      <w:pStyle w:val="af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D19" w:rsidRPr="005B0D19" w:rsidRDefault="005B0D19" w:rsidP="005B0D19">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119A97A4"/>
    <w:lvl w:ilvl="0">
      <w:start w:val="1"/>
      <w:numFmt w:val="decimal"/>
      <w:pStyle w:val="4"/>
      <w:lvlText w:val="%1."/>
      <w:lvlJc w:val="left"/>
      <w:pPr>
        <w:tabs>
          <w:tab w:val="num" w:pos="1209"/>
        </w:tabs>
        <w:ind w:left="1209" w:hanging="360"/>
      </w:pPr>
    </w:lvl>
  </w:abstractNum>
  <w:abstractNum w:abstractNumId="1">
    <w:nsid w:val="FFFFFF7E"/>
    <w:multiLevelType w:val="singleLevel"/>
    <w:tmpl w:val="E782E920"/>
    <w:lvl w:ilvl="0">
      <w:start w:val="1"/>
      <w:numFmt w:val="decimal"/>
      <w:pStyle w:val="3"/>
      <w:lvlText w:val="%1."/>
      <w:lvlJc w:val="left"/>
      <w:pPr>
        <w:tabs>
          <w:tab w:val="num" w:pos="926"/>
        </w:tabs>
        <w:ind w:left="926" w:hanging="360"/>
      </w:pPr>
    </w:lvl>
  </w:abstractNum>
  <w:abstractNum w:abstractNumId="2">
    <w:nsid w:val="FFFFFF7F"/>
    <w:multiLevelType w:val="singleLevel"/>
    <w:tmpl w:val="8EF0F03C"/>
    <w:lvl w:ilvl="0">
      <w:start w:val="1"/>
      <w:numFmt w:val="decimal"/>
      <w:pStyle w:val="2"/>
      <w:lvlText w:val="%1."/>
      <w:lvlJc w:val="left"/>
      <w:pPr>
        <w:tabs>
          <w:tab w:val="num" w:pos="643"/>
        </w:tabs>
        <w:ind w:left="643" w:hanging="360"/>
      </w:pPr>
    </w:lvl>
  </w:abstractNum>
  <w:abstractNum w:abstractNumId="3">
    <w:nsid w:val="FFFFFF81"/>
    <w:multiLevelType w:val="singleLevel"/>
    <w:tmpl w:val="5E3CC1A6"/>
    <w:lvl w:ilvl="0">
      <w:start w:val="1"/>
      <w:numFmt w:val="bullet"/>
      <w:pStyle w:val="40"/>
      <w:lvlText w:val=""/>
      <w:lvlJc w:val="left"/>
      <w:pPr>
        <w:tabs>
          <w:tab w:val="num" w:pos="1209"/>
        </w:tabs>
        <w:ind w:left="1209" w:hanging="360"/>
      </w:pPr>
      <w:rPr>
        <w:rFonts w:ascii="Symbol" w:hAnsi="Symbol" w:hint="default"/>
      </w:rPr>
    </w:lvl>
  </w:abstractNum>
  <w:abstractNum w:abstractNumId="4">
    <w:nsid w:val="FFFFFF82"/>
    <w:multiLevelType w:val="singleLevel"/>
    <w:tmpl w:val="4592710C"/>
    <w:lvl w:ilvl="0">
      <w:start w:val="1"/>
      <w:numFmt w:val="bullet"/>
      <w:pStyle w:val="30"/>
      <w:lvlText w:val=""/>
      <w:lvlJc w:val="left"/>
      <w:pPr>
        <w:tabs>
          <w:tab w:val="num" w:pos="926"/>
        </w:tabs>
        <w:ind w:left="926" w:hanging="360"/>
      </w:pPr>
      <w:rPr>
        <w:rFonts w:ascii="Symbol" w:hAnsi="Symbol" w:hint="default"/>
      </w:rPr>
    </w:lvl>
  </w:abstractNum>
  <w:abstractNum w:abstractNumId="5">
    <w:nsid w:val="FFFFFF83"/>
    <w:multiLevelType w:val="singleLevel"/>
    <w:tmpl w:val="1BCA701C"/>
    <w:lvl w:ilvl="0">
      <w:start w:val="1"/>
      <w:numFmt w:val="bullet"/>
      <w:pStyle w:val="20"/>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2">
    <w:nsid w:val="2DFF47FF"/>
    <w:multiLevelType w:val="hybridMultilevel"/>
    <w:tmpl w:val="3EFCC3DC"/>
    <w:lvl w:ilvl="0" w:tplc="66984512">
      <w:start w:val="1"/>
      <w:numFmt w:val="decimal"/>
      <w:pStyle w:val="Para"/>
      <w:lvlText w:val="%1."/>
      <w:lvlJc w:val="left"/>
      <w:pPr>
        <w:ind w:left="720" w:hanging="360"/>
      </w:pPr>
      <w:rPr>
        <w:rFonts w:ascii="Calibri" w:eastAsia="Calibri" w:hAnsi="Calibri" w:cs="Times New Roman"/>
      </w:rPr>
    </w:lvl>
    <w:lvl w:ilvl="1" w:tplc="0C94ECD4">
      <w:start w:val="1"/>
      <w:numFmt w:val="lowerLetter"/>
      <w:lvlText w:val="%2."/>
      <w:lvlJc w:val="left"/>
      <w:pPr>
        <w:ind w:left="1440" w:hanging="360"/>
      </w:pPr>
      <w:rPr>
        <w:rFonts w:ascii="Times New Roman" w:eastAsia="Calibri" w:hAnsi="Times New Roman" w:cs="Times New Roman"/>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a"/>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1"/>
      <w:lvlText w:val="%1."/>
      <w:lvlJc w:val="left"/>
      <w:pPr>
        <w:tabs>
          <w:tab w:val="num" w:pos="850"/>
        </w:tabs>
        <w:ind w:left="850" w:hanging="850"/>
      </w:pPr>
    </w:lvl>
    <w:lvl w:ilvl="1">
      <w:start w:val="1"/>
      <w:numFmt w:val="decimal"/>
      <w:pStyle w:val="21"/>
      <w:lvlText w:val="%1.%2."/>
      <w:lvlJc w:val="left"/>
      <w:pPr>
        <w:tabs>
          <w:tab w:val="num" w:pos="850"/>
        </w:tabs>
        <w:ind w:left="850" w:hanging="850"/>
      </w:pPr>
    </w:lvl>
    <w:lvl w:ilvl="2">
      <w:start w:val="1"/>
      <w:numFmt w:val="decimal"/>
      <w:pStyle w:val="31"/>
      <w:lvlText w:val="%1.%2.%3."/>
      <w:lvlJc w:val="left"/>
      <w:pPr>
        <w:tabs>
          <w:tab w:val="num" w:pos="850"/>
        </w:tabs>
        <w:ind w:left="850" w:hanging="850"/>
      </w:pPr>
    </w:lvl>
    <w:lvl w:ilvl="3">
      <w:start w:val="1"/>
      <w:numFmt w:val="decimal"/>
      <w:pStyle w:val="41"/>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a0"/>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6B9748C"/>
    <w:multiLevelType w:val="hybridMultilevel"/>
    <w:tmpl w:val="FD7621E0"/>
    <w:lvl w:ilvl="0" w:tplc="0CEAE992">
      <w:start w:val="1"/>
      <w:numFmt w:val="decimal"/>
      <w:pStyle w:val="Tim"/>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7"/>
    <w:lvlOverride w:ilvl="0">
      <w:startOverride w:val="1"/>
    </w:lvlOverride>
  </w:num>
  <w:num w:numId="2">
    <w:abstractNumId w:val="6"/>
  </w:num>
  <w:num w:numId="3">
    <w:abstractNumId w:val="17"/>
  </w:num>
  <w:num w:numId="4">
    <w:abstractNumId w:val="16"/>
  </w:num>
  <w:num w:numId="5">
    <w:abstractNumId w:val="25"/>
  </w:num>
  <w:num w:numId="6">
    <w:abstractNumId w:val="22"/>
  </w:num>
  <w:num w:numId="7">
    <w:abstractNumId w:val="5"/>
  </w:num>
  <w:num w:numId="8">
    <w:abstractNumId w:val="4"/>
  </w:num>
  <w:num w:numId="9">
    <w:abstractNumId w:val="3"/>
  </w:num>
  <w:num w:numId="10">
    <w:abstractNumId w:val="2"/>
  </w:num>
  <w:num w:numId="11">
    <w:abstractNumId w:val="1"/>
  </w:num>
  <w:num w:numId="12">
    <w:abstractNumId w:val="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6"/>
  </w:num>
  <w:num w:numId="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num>
  <w:num w:numId="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
    <w:lvlOverride w:ilvl="0">
      <w:startOverride w:val="1"/>
    </w:lvlOverride>
  </w:num>
  <w:num w:numId="87">
    <w:abstractNumId w:val="21"/>
  </w:num>
  <w:num w:numId="88">
    <w:abstractNumId w:val="13"/>
  </w:num>
  <w:num w:numId="89">
    <w:abstractNumId w:val="24"/>
  </w:num>
  <w:num w:numId="90">
    <w:abstractNumId w:val="10"/>
  </w:num>
  <w:num w:numId="91">
    <w:abstractNumId w:val="14"/>
  </w:num>
  <w:num w:numId="92">
    <w:abstractNumId w:val="8"/>
  </w:num>
  <w:num w:numId="93">
    <w:abstractNumId w:val="23"/>
  </w:num>
  <w:num w:numId="94">
    <w:abstractNumId w:val="7"/>
  </w:num>
  <w:num w:numId="95">
    <w:abstractNumId w:val="15"/>
  </w:num>
  <w:num w:numId="96">
    <w:abstractNumId w:val="19"/>
  </w:num>
  <w:num w:numId="97">
    <w:abstractNumId w:val="20"/>
  </w:num>
  <w:num w:numId="98">
    <w:abstractNumId w:val="9"/>
  </w:num>
  <w:num w:numId="99">
    <w:abstractNumId w:val="18"/>
  </w:num>
  <w:num w:numId="100">
    <w:abstractNumId w:val="27"/>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EJAHR Michael (AGRI)">
    <w15:presenceInfo w15:providerId="None" w15:userId="NIEJAHR Michael (AGR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defaultTabStop w:val="720"/>
  <w:hyphenationZone w:val="425"/>
  <w:characterSpacingControl w:val="doNotCompress"/>
  <w:hdrShapeDefaults>
    <o:shapedefaults v:ext="edit" spidmax="7170"/>
  </w:hdrShapeDefaults>
  <w:footnotePr>
    <w:footnote w:id="-1"/>
    <w:footnote w:id="0"/>
    <w:footnote w:id="1"/>
  </w:footnotePr>
  <w:endnotePr>
    <w:endnote w:id="-1"/>
    <w:endnote w:id="0"/>
    <w:endnote w:id="1"/>
  </w:endnotePr>
  <w:compat/>
  <w:docVars>
    <w:docVar w:name="CR_RefLast" w:val="0"/>
    <w:docVar w:name="DQCStatus" w:val="Red"/>
    <w:docVar w:name="DQCVersion" w:val="3"/>
    <w:docVar w:name="LW_CORRIGENDUM" w:val="&lt;UNUSED&gt;"/>
    <w:docVar w:name="LW_COVERPAGE_EXISTS" w:val="True"/>
    <w:docVar w:name="LW_COVERPAGE_GUID" w:val="79BFEA17-12D1-4EF3-81B3-CF91BD3E57F0"/>
    <w:docVar w:name="LW_COVERPAGE_TYPE" w:val="1"/>
    <w:docVar w:name="LW_CROSSREFERENCE" w:val="{SWD(2018) 301 final}_x000A_{SEC(2018) 305 final}"/>
    <w:docVar w:name="LW_DocType" w:val="COM"/>
    <w:docVar w:name="LW_EMISSION" w:val="1.6.2018"/>
    <w:docVar w:name="LW_EMISSION_ISODATE" w:val="2018-06-01"/>
    <w:docVar w:name="LW_EMISSION_LOCATION" w:val="BRX"/>
    <w:docVar w:name="LW_EMISSION_PREFIX" w:val="\u914?\u961?\u965?\u958?\u941?\u955?\u955?\u949?\u962?,"/>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I.NEW.CP" w:val="COD"/>
    <w:docVar w:name="LW_REF.II.NEW.CP_NUMBER" w:val="0217"/>
    <w:docVar w:name="LW_REF.II.NEW.CP_YEAR" w:val="2018"/>
    <w:docVar w:name="LW_REF.INST.NEW" w:val="COM"/>
    <w:docVar w:name="LW_REF.INST.NEW_ADOPTED" w:val="final"/>
    <w:docVar w:name="LW_REF.INST.NEW_TEXT" w:val="(2018) 3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928?\u961?\u972?\u964?\u945?\u963?\u951?"/>
    <w:docVar w:name="LW_SUPERTITRE" w:val="&lt;UNUSED&gt;"/>
    <w:docVar w:name="LW_TITRE.OBJ.CP" w:val="\u963?\u967?\u949?\u964?\u953?\u954?\u940? \u956?\u949? \u964?\u951? \u967?\u961?\u951?\u956?\u945?\u964?\u959?\u948?\u972?\u964?\u951?\u963?\u951?, \u964?\u951? \u948?\u953?\u945?\u967?\u949?\u943?\u961?\u953?\u963?\u951? \u954?\u945?\u953? \u964?\u951?\u957? \u960?\u945?\u961?\u945?\u954?\u959?\u955?\u959?\u973?\u952?\u951?\u963?\u951? \u964?\u951?\u962? \u954?\u959?\u953?\u957?\u942?\u962? \u947?\u949?\u969?\u961?\u947?\u953?\u954?\u942?\u962? \u960?\u959?\u955?\u953?\u964?\u953?\u954?\u942?\u962? \u954?\u945?\u953? \u964?\u951?\u957? \u954?\u945?\u964?\u940?\u961?\u947?\u951?\u963?\u951? \u964?\u959?\u965? \u954?\u945?\u957?\u959?\u957?\u953?\u963?\u956?\u959?\u973? (\u917?\u917?) \u945?\u961?\u953?\u952?. 1306/2013"/>
    <w:docVar w:name="LW_TYPE.DOC.CP" w:val="\u922?\u913?\u925?\u927?\u925?\u921?\u931?\u924?\u927?\u931? \u932?\u927?\u933? \u917?\u933?\u929?\u937?\u928?\u913?\u938?\u922?\u927?\u933? \u922?\u927?\u921?\u925?\u927?\u914?\u927?\u933?\u923?\u921?\u927?\u933? \u922?\u913?\u921? \u932?\u927?\u933? \u931?\u933?\u924?\u914?\u927?\u933?\u923?\u921?\u927?\u933?"/>
  </w:docVars>
  <w:rsids>
    <w:rsidRoot w:val="00A57BFD"/>
    <w:rsid w:val="000F0BC5"/>
    <w:rsid w:val="003B5748"/>
    <w:rsid w:val="005B0D19"/>
    <w:rsid w:val="0077520F"/>
    <w:rsid w:val="00A57BF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0BC5"/>
    <w:pPr>
      <w:spacing w:before="120" w:after="120" w:line="240" w:lineRule="auto"/>
      <w:jc w:val="both"/>
    </w:pPr>
    <w:rPr>
      <w:rFonts w:ascii="Times New Roman" w:hAnsi="Times New Roman" w:cs="Times New Roman"/>
      <w:sz w:val="24"/>
    </w:rPr>
  </w:style>
  <w:style w:type="paragraph" w:styleId="1">
    <w:name w:val="heading 1"/>
    <w:basedOn w:val="a1"/>
    <w:next w:val="Text1"/>
    <w:link w:val="1Char"/>
    <w:uiPriority w:val="9"/>
    <w:qFormat/>
    <w:rsid w:val="000F0BC5"/>
    <w:pPr>
      <w:keepNext/>
      <w:numPr>
        <w:numId w:val="93"/>
      </w:numPr>
      <w:spacing w:before="360"/>
      <w:outlineLvl w:val="0"/>
    </w:pPr>
    <w:rPr>
      <w:rFonts w:eastAsiaTheme="majorEastAsia"/>
      <w:b/>
      <w:bCs/>
      <w:smallCaps/>
      <w:szCs w:val="28"/>
    </w:rPr>
  </w:style>
  <w:style w:type="paragraph" w:styleId="21">
    <w:name w:val="heading 2"/>
    <w:basedOn w:val="a1"/>
    <w:next w:val="Text1"/>
    <w:link w:val="2Char"/>
    <w:uiPriority w:val="9"/>
    <w:semiHidden/>
    <w:unhideWhenUsed/>
    <w:qFormat/>
    <w:rsid w:val="000F0BC5"/>
    <w:pPr>
      <w:keepNext/>
      <w:numPr>
        <w:ilvl w:val="1"/>
        <w:numId w:val="93"/>
      </w:numPr>
      <w:outlineLvl w:val="1"/>
    </w:pPr>
    <w:rPr>
      <w:rFonts w:eastAsiaTheme="majorEastAsia"/>
      <w:b/>
      <w:bCs/>
      <w:szCs w:val="26"/>
    </w:rPr>
  </w:style>
  <w:style w:type="paragraph" w:styleId="31">
    <w:name w:val="heading 3"/>
    <w:basedOn w:val="a1"/>
    <w:next w:val="Text1"/>
    <w:link w:val="3Char"/>
    <w:uiPriority w:val="9"/>
    <w:semiHidden/>
    <w:unhideWhenUsed/>
    <w:qFormat/>
    <w:rsid w:val="000F0BC5"/>
    <w:pPr>
      <w:keepNext/>
      <w:numPr>
        <w:ilvl w:val="2"/>
        <w:numId w:val="93"/>
      </w:numPr>
      <w:outlineLvl w:val="2"/>
    </w:pPr>
    <w:rPr>
      <w:rFonts w:eastAsiaTheme="majorEastAsia"/>
      <w:bCs/>
      <w:i/>
    </w:rPr>
  </w:style>
  <w:style w:type="paragraph" w:styleId="41">
    <w:name w:val="heading 4"/>
    <w:basedOn w:val="a1"/>
    <w:next w:val="Text1"/>
    <w:link w:val="4Char"/>
    <w:uiPriority w:val="9"/>
    <w:semiHidden/>
    <w:unhideWhenUsed/>
    <w:qFormat/>
    <w:rsid w:val="000F0BC5"/>
    <w:pPr>
      <w:keepNext/>
      <w:numPr>
        <w:ilvl w:val="3"/>
        <w:numId w:val="93"/>
      </w:numPr>
      <w:outlineLvl w:val="3"/>
    </w:pPr>
    <w:rPr>
      <w:rFonts w:eastAsiaTheme="majorEastAsia"/>
      <w:bCs/>
      <w:i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List Number"/>
    <w:basedOn w:val="a1"/>
    <w:rsid w:val="000F0BC5"/>
    <w:pPr>
      <w:numPr>
        <w:numId w:val="5"/>
      </w:numPr>
    </w:pPr>
    <w:rPr>
      <w:rFonts w:eastAsia="Times New Roman"/>
    </w:rPr>
  </w:style>
  <w:style w:type="paragraph" w:customStyle="1" w:styleId="ListBullet1">
    <w:name w:val="List Bullet 1"/>
    <w:basedOn w:val="a1"/>
    <w:rsid w:val="000F0BC5"/>
    <w:pPr>
      <w:numPr>
        <w:numId w:val="2"/>
      </w:numPr>
    </w:pPr>
    <w:rPr>
      <w:rFonts w:eastAsia="Times New Roman"/>
    </w:rPr>
  </w:style>
  <w:style w:type="paragraph" w:customStyle="1" w:styleId="ListDash1">
    <w:name w:val="List Dash 1"/>
    <w:basedOn w:val="a1"/>
    <w:rsid w:val="000F0BC5"/>
    <w:pPr>
      <w:numPr>
        <w:numId w:val="3"/>
      </w:numPr>
    </w:pPr>
    <w:rPr>
      <w:rFonts w:eastAsia="Times New Roman"/>
    </w:rPr>
  </w:style>
  <w:style w:type="paragraph" w:customStyle="1" w:styleId="ListDash2">
    <w:name w:val="List Dash 2"/>
    <w:basedOn w:val="a1"/>
    <w:rsid w:val="000F0BC5"/>
    <w:pPr>
      <w:numPr>
        <w:numId w:val="4"/>
      </w:numPr>
    </w:pPr>
    <w:rPr>
      <w:rFonts w:eastAsia="Times New Roman"/>
    </w:rPr>
  </w:style>
  <w:style w:type="paragraph" w:customStyle="1" w:styleId="ListNumberLevel2">
    <w:name w:val="List Number (Level 2)"/>
    <w:basedOn w:val="a1"/>
    <w:rsid w:val="000F0BC5"/>
    <w:pPr>
      <w:numPr>
        <w:ilvl w:val="1"/>
        <w:numId w:val="5"/>
      </w:numPr>
    </w:pPr>
    <w:rPr>
      <w:rFonts w:eastAsia="Times New Roman"/>
    </w:rPr>
  </w:style>
  <w:style w:type="paragraph" w:customStyle="1" w:styleId="ListNumberLevel3">
    <w:name w:val="List Number (Level 3)"/>
    <w:basedOn w:val="a1"/>
    <w:rsid w:val="000F0BC5"/>
    <w:pPr>
      <w:numPr>
        <w:ilvl w:val="2"/>
        <w:numId w:val="5"/>
      </w:numPr>
    </w:pPr>
    <w:rPr>
      <w:rFonts w:eastAsia="Times New Roman"/>
    </w:rPr>
  </w:style>
  <w:style w:type="paragraph" w:customStyle="1" w:styleId="ListNumberLevel4">
    <w:name w:val="List Number (Level 4)"/>
    <w:basedOn w:val="a1"/>
    <w:rsid w:val="000F0BC5"/>
    <w:pPr>
      <w:numPr>
        <w:ilvl w:val="3"/>
        <w:numId w:val="5"/>
      </w:numPr>
    </w:pPr>
    <w:rPr>
      <w:rFonts w:eastAsia="Times New Roman"/>
    </w:rPr>
  </w:style>
  <w:style w:type="character" w:styleId="-">
    <w:name w:val="Hyperlink"/>
    <w:rsid w:val="000F0BC5"/>
    <w:rPr>
      <w:color w:val="0000FF"/>
      <w:u w:val="single"/>
    </w:rPr>
  </w:style>
  <w:style w:type="paragraph" w:styleId="a">
    <w:name w:val="List Bullet"/>
    <w:basedOn w:val="a1"/>
    <w:rsid w:val="000F0BC5"/>
    <w:pPr>
      <w:numPr>
        <w:numId w:val="6"/>
      </w:numPr>
    </w:pPr>
    <w:rPr>
      <w:rFonts w:eastAsia="Times New Roman"/>
    </w:rPr>
  </w:style>
  <w:style w:type="paragraph" w:customStyle="1" w:styleId="Considerant">
    <w:name w:val="Considerant"/>
    <w:basedOn w:val="Considrant"/>
    <w:rsid w:val="000F0BC5"/>
  </w:style>
  <w:style w:type="paragraph" w:styleId="a5">
    <w:name w:val="List Paragraph"/>
    <w:basedOn w:val="a1"/>
    <w:uiPriority w:val="34"/>
    <w:qFormat/>
    <w:rsid w:val="000F0BC5"/>
    <w:pPr>
      <w:ind w:left="720"/>
      <w:contextualSpacing/>
    </w:pPr>
  </w:style>
  <w:style w:type="paragraph" w:styleId="a6">
    <w:name w:val="caption"/>
    <w:basedOn w:val="a1"/>
    <w:next w:val="a1"/>
    <w:unhideWhenUsed/>
    <w:qFormat/>
    <w:rsid w:val="000F0BC5"/>
    <w:pPr>
      <w:spacing w:before="0" w:after="200"/>
    </w:pPr>
    <w:rPr>
      <w:b/>
      <w:bCs/>
      <w:color w:val="4F81BD" w:themeColor="accent1"/>
      <w:sz w:val="18"/>
      <w:szCs w:val="18"/>
    </w:rPr>
  </w:style>
  <w:style w:type="paragraph" w:styleId="a7">
    <w:name w:val="table of figures"/>
    <w:basedOn w:val="a1"/>
    <w:next w:val="a1"/>
    <w:unhideWhenUsed/>
    <w:rsid w:val="000F0BC5"/>
    <w:pPr>
      <w:spacing w:after="0"/>
    </w:pPr>
  </w:style>
  <w:style w:type="paragraph" w:styleId="20">
    <w:name w:val="List Bullet 2"/>
    <w:basedOn w:val="a1"/>
    <w:unhideWhenUsed/>
    <w:rsid w:val="000F0BC5"/>
    <w:pPr>
      <w:numPr>
        <w:numId w:val="7"/>
      </w:numPr>
      <w:contextualSpacing/>
    </w:pPr>
  </w:style>
  <w:style w:type="paragraph" w:styleId="30">
    <w:name w:val="List Bullet 3"/>
    <w:basedOn w:val="a1"/>
    <w:unhideWhenUsed/>
    <w:rsid w:val="000F0BC5"/>
    <w:pPr>
      <w:numPr>
        <w:numId w:val="8"/>
      </w:numPr>
      <w:contextualSpacing/>
    </w:pPr>
  </w:style>
  <w:style w:type="paragraph" w:styleId="40">
    <w:name w:val="List Bullet 4"/>
    <w:basedOn w:val="a1"/>
    <w:unhideWhenUsed/>
    <w:rsid w:val="000F0BC5"/>
    <w:pPr>
      <w:numPr>
        <w:numId w:val="9"/>
      </w:numPr>
      <w:contextualSpacing/>
    </w:pPr>
  </w:style>
  <w:style w:type="paragraph" w:styleId="2">
    <w:name w:val="List Number 2"/>
    <w:basedOn w:val="a1"/>
    <w:unhideWhenUsed/>
    <w:rsid w:val="000F0BC5"/>
    <w:pPr>
      <w:numPr>
        <w:numId w:val="10"/>
      </w:numPr>
      <w:contextualSpacing/>
    </w:pPr>
  </w:style>
  <w:style w:type="paragraph" w:styleId="3">
    <w:name w:val="List Number 3"/>
    <w:basedOn w:val="a1"/>
    <w:unhideWhenUsed/>
    <w:rsid w:val="000F0BC5"/>
    <w:pPr>
      <w:numPr>
        <w:numId w:val="11"/>
      </w:numPr>
      <w:contextualSpacing/>
    </w:pPr>
  </w:style>
  <w:style w:type="paragraph" w:styleId="4">
    <w:name w:val="List Number 4"/>
    <w:basedOn w:val="a1"/>
    <w:unhideWhenUsed/>
    <w:rsid w:val="000F0BC5"/>
    <w:pPr>
      <w:numPr>
        <w:numId w:val="12"/>
      </w:numPr>
      <w:contextualSpacing/>
    </w:pPr>
  </w:style>
  <w:style w:type="character" w:styleId="a8">
    <w:name w:val="annotation reference"/>
    <w:basedOn w:val="a2"/>
    <w:unhideWhenUsed/>
    <w:rsid w:val="000F0BC5"/>
    <w:rPr>
      <w:sz w:val="16"/>
      <w:szCs w:val="16"/>
    </w:rPr>
  </w:style>
  <w:style w:type="paragraph" w:styleId="a9">
    <w:name w:val="annotation text"/>
    <w:basedOn w:val="a1"/>
    <w:link w:val="Char"/>
    <w:unhideWhenUsed/>
    <w:rsid w:val="000F0BC5"/>
    <w:rPr>
      <w:sz w:val="20"/>
      <w:szCs w:val="20"/>
    </w:rPr>
  </w:style>
  <w:style w:type="character" w:customStyle="1" w:styleId="Char">
    <w:name w:val="Κείμενο σχολίου Char"/>
    <w:basedOn w:val="a2"/>
    <w:link w:val="a9"/>
    <w:rsid w:val="000F0BC5"/>
    <w:rPr>
      <w:rFonts w:ascii="Times New Roman" w:hAnsi="Times New Roman" w:cs="Times New Roman"/>
      <w:sz w:val="20"/>
      <w:szCs w:val="20"/>
      <w:lang w:val="el-GR"/>
    </w:rPr>
  </w:style>
  <w:style w:type="paragraph" w:styleId="aa">
    <w:name w:val="annotation subject"/>
    <w:basedOn w:val="a9"/>
    <w:next w:val="a9"/>
    <w:link w:val="Char0"/>
    <w:unhideWhenUsed/>
    <w:rsid w:val="000F0BC5"/>
    <w:rPr>
      <w:b/>
      <w:bCs/>
    </w:rPr>
  </w:style>
  <w:style w:type="character" w:customStyle="1" w:styleId="Char0">
    <w:name w:val="Θέμα σχολίου Char"/>
    <w:basedOn w:val="Char"/>
    <w:link w:val="aa"/>
    <w:rsid w:val="000F0BC5"/>
    <w:rPr>
      <w:rFonts w:ascii="Times New Roman" w:hAnsi="Times New Roman" w:cs="Times New Roman"/>
      <w:b/>
      <w:bCs/>
      <w:sz w:val="20"/>
      <w:szCs w:val="20"/>
      <w:lang w:val="el-GR"/>
    </w:rPr>
  </w:style>
  <w:style w:type="paragraph" w:styleId="ab">
    <w:name w:val="Balloon Text"/>
    <w:basedOn w:val="a1"/>
    <w:link w:val="Char1"/>
    <w:unhideWhenUsed/>
    <w:rsid w:val="000F0BC5"/>
    <w:pPr>
      <w:spacing w:before="0" w:after="0"/>
    </w:pPr>
    <w:rPr>
      <w:rFonts w:ascii="Tahoma" w:hAnsi="Tahoma" w:cs="Tahoma"/>
      <w:sz w:val="16"/>
      <w:szCs w:val="16"/>
    </w:rPr>
  </w:style>
  <w:style w:type="character" w:customStyle="1" w:styleId="Char1">
    <w:name w:val="Κείμενο πλαισίου Char"/>
    <w:basedOn w:val="a2"/>
    <w:link w:val="ab"/>
    <w:rsid w:val="000F0BC5"/>
    <w:rPr>
      <w:rFonts w:ascii="Tahoma" w:hAnsi="Tahoma" w:cs="Tahoma"/>
      <w:sz w:val="16"/>
      <w:szCs w:val="16"/>
      <w:lang w:val="el-GR"/>
    </w:rPr>
  </w:style>
  <w:style w:type="paragraph" w:customStyle="1" w:styleId="ArticleTitle">
    <w:name w:val="Article Title"/>
    <w:basedOn w:val="a1"/>
    <w:rsid w:val="000F0BC5"/>
  </w:style>
  <w:style w:type="paragraph" w:customStyle="1" w:styleId="TextCorpus">
    <w:name w:val="TextCorpus"/>
    <w:rsid w:val="000F0BC5"/>
    <w:pPr>
      <w:tabs>
        <w:tab w:val="left" w:pos="510"/>
        <w:tab w:val="left" w:pos="1020"/>
        <w:tab w:val="left" w:pos="1531"/>
        <w:tab w:val="left" w:pos="2041"/>
        <w:tab w:val="left" w:pos="2551"/>
        <w:tab w:val="left" w:pos="3061"/>
        <w:tab w:val="left" w:pos="3572"/>
        <w:tab w:val="left" w:pos="4082"/>
        <w:tab w:val="left" w:pos="4592"/>
        <w:tab w:val="left" w:pos="5102"/>
      </w:tabs>
      <w:spacing w:after="120" w:line="240" w:lineRule="auto"/>
      <w:jc w:val="both"/>
    </w:pPr>
    <w:rPr>
      <w:rFonts w:ascii="Times New Roman" w:eastAsia="Times New Roman" w:hAnsi="Times New Roman" w:cs="Times New Roman"/>
      <w:sz w:val="20"/>
      <w:szCs w:val="24"/>
    </w:rPr>
  </w:style>
  <w:style w:type="character" w:customStyle="1" w:styleId="Text1Char">
    <w:name w:val="Text 1 Char"/>
    <w:locked/>
    <w:rsid w:val="000F0BC5"/>
    <w:rPr>
      <w:rFonts w:ascii="Times New Roman" w:hAnsi="Times New Roman" w:cs="Times New Roman"/>
      <w:sz w:val="24"/>
      <w:lang w:val="el-GR"/>
    </w:rPr>
  </w:style>
  <w:style w:type="paragraph" w:styleId="ac">
    <w:name w:val="Body Text"/>
    <w:basedOn w:val="a1"/>
    <w:link w:val="Char2"/>
    <w:rsid w:val="000F0BC5"/>
    <w:pPr>
      <w:spacing w:before="0"/>
    </w:pPr>
    <w:rPr>
      <w:rFonts w:eastAsia="Times New Roman"/>
      <w:szCs w:val="20"/>
    </w:rPr>
  </w:style>
  <w:style w:type="character" w:customStyle="1" w:styleId="Char2">
    <w:name w:val="Σώμα κειμένου Char"/>
    <w:basedOn w:val="a2"/>
    <w:link w:val="ac"/>
    <w:rsid w:val="000F0BC5"/>
    <w:rPr>
      <w:rFonts w:ascii="Times New Roman" w:eastAsia="Times New Roman" w:hAnsi="Times New Roman" w:cs="Times New Roman"/>
      <w:sz w:val="24"/>
      <w:szCs w:val="20"/>
      <w:lang w:val="el-GR"/>
    </w:rPr>
  </w:style>
  <w:style w:type="paragraph" w:customStyle="1" w:styleId="TextBoldCenterItalTogetherBefore">
    <w:name w:val="TextBoldCenterItalTogetherBefore"/>
    <w:basedOn w:val="a1"/>
    <w:rsid w:val="000F0BC5"/>
    <w:pPr>
      <w:keepNext/>
      <w:keepLines/>
      <w:tabs>
        <w:tab w:val="left" w:pos="510"/>
        <w:tab w:val="left" w:pos="1020"/>
        <w:tab w:val="left" w:pos="1531"/>
        <w:tab w:val="left" w:pos="2041"/>
        <w:tab w:val="left" w:pos="2551"/>
        <w:tab w:val="left" w:pos="3061"/>
        <w:tab w:val="left" w:pos="3572"/>
        <w:tab w:val="left" w:pos="4082"/>
        <w:tab w:val="left" w:pos="4592"/>
        <w:tab w:val="left" w:pos="5102"/>
      </w:tabs>
      <w:jc w:val="center"/>
    </w:pPr>
    <w:rPr>
      <w:rFonts w:eastAsia="Times New Roman"/>
      <w:b/>
      <w:i/>
      <w:sz w:val="20"/>
      <w:szCs w:val="24"/>
    </w:rPr>
  </w:style>
  <w:style w:type="paragraph" w:styleId="ad">
    <w:name w:val="Date"/>
    <w:basedOn w:val="a1"/>
    <w:next w:val="a1"/>
    <w:link w:val="Char3"/>
    <w:uiPriority w:val="99"/>
    <w:semiHidden/>
    <w:unhideWhenUsed/>
    <w:rsid w:val="000F0BC5"/>
    <w:pPr>
      <w:spacing w:before="0" w:after="0"/>
      <w:jc w:val="left"/>
    </w:pPr>
    <w:rPr>
      <w:rFonts w:eastAsia="Times New Roman"/>
      <w:sz w:val="20"/>
      <w:szCs w:val="24"/>
    </w:rPr>
  </w:style>
  <w:style w:type="character" w:customStyle="1" w:styleId="Char3">
    <w:name w:val="Ημερομηνία Char"/>
    <w:basedOn w:val="a2"/>
    <w:link w:val="ad"/>
    <w:uiPriority w:val="99"/>
    <w:semiHidden/>
    <w:rsid w:val="000F0BC5"/>
    <w:rPr>
      <w:rFonts w:ascii="Times New Roman" w:eastAsia="Times New Roman" w:hAnsi="Times New Roman" w:cs="Times New Roman"/>
      <w:sz w:val="20"/>
      <w:szCs w:val="24"/>
      <w:lang w:val="el-GR"/>
    </w:rPr>
  </w:style>
  <w:style w:type="paragraph" w:customStyle="1" w:styleId="TextCenterItalTogetherBefore">
    <w:name w:val="TextCenterItalTogetherBefore"/>
    <w:basedOn w:val="a1"/>
    <w:next w:val="TextCorpus"/>
    <w:rsid w:val="000F0BC5"/>
    <w:pPr>
      <w:keepNext/>
      <w:keepLines/>
      <w:tabs>
        <w:tab w:val="left" w:pos="510"/>
        <w:tab w:val="left" w:pos="1020"/>
        <w:tab w:val="left" w:pos="1531"/>
        <w:tab w:val="left" w:pos="2041"/>
        <w:tab w:val="left" w:pos="2551"/>
        <w:tab w:val="left" w:pos="3061"/>
        <w:tab w:val="left" w:pos="3572"/>
        <w:tab w:val="left" w:pos="4082"/>
        <w:tab w:val="left" w:pos="4592"/>
        <w:tab w:val="left" w:pos="5102"/>
      </w:tabs>
      <w:jc w:val="center"/>
    </w:pPr>
    <w:rPr>
      <w:rFonts w:eastAsia="Times New Roman"/>
      <w:i/>
      <w:sz w:val="20"/>
      <w:szCs w:val="24"/>
    </w:rPr>
  </w:style>
  <w:style w:type="paragraph" w:customStyle="1" w:styleId="Titletile">
    <w:name w:val="Titletile"/>
    <w:basedOn w:val="SectionTitle"/>
    <w:rsid w:val="000F0BC5"/>
  </w:style>
  <w:style w:type="paragraph" w:customStyle="1" w:styleId="Titletitle">
    <w:name w:val="Titletitle"/>
    <w:basedOn w:val="Titletile"/>
    <w:rsid w:val="000F0BC5"/>
  </w:style>
  <w:style w:type="paragraph" w:customStyle="1" w:styleId="ChapterTite">
    <w:name w:val="ChapterTite"/>
    <w:basedOn w:val="a1"/>
    <w:rsid w:val="000F0BC5"/>
  </w:style>
  <w:style w:type="paragraph" w:customStyle="1" w:styleId="NumPar10">
    <w:name w:val="NumPar1"/>
    <w:basedOn w:val="a1"/>
    <w:rsid w:val="000F0BC5"/>
  </w:style>
  <w:style w:type="paragraph" w:customStyle="1" w:styleId="Titrear">
    <w:name w:val="Titre ar"/>
    <w:basedOn w:val="NumPar10"/>
    <w:rsid w:val="000F0BC5"/>
  </w:style>
  <w:style w:type="paragraph" w:styleId="ae">
    <w:name w:val="Revision"/>
    <w:hidden/>
    <w:uiPriority w:val="99"/>
    <w:semiHidden/>
    <w:rsid w:val="000F0BC5"/>
    <w:pPr>
      <w:spacing w:after="0" w:line="240" w:lineRule="auto"/>
    </w:pPr>
    <w:rPr>
      <w:rFonts w:ascii="Times New Roman" w:hAnsi="Times New Roman" w:cs="Times New Roman"/>
      <w:sz w:val="24"/>
    </w:rPr>
  </w:style>
  <w:style w:type="paragraph" w:customStyle="1" w:styleId="Titrearti">
    <w:name w:val="Titre  arti"/>
    <w:basedOn w:val="a1"/>
    <w:rsid w:val="000F0BC5"/>
  </w:style>
  <w:style w:type="paragraph" w:customStyle="1" w:styleId="Numapr1">
    <w:name w:val="Numapr1"/>
    <w:basedOn w:val="a1"/>
    <w:rsid w:val="000F0BC5"/>
  </w:style>
  <w:style w:type="paragraph" w:customStyle="1" w:styleId="Nupar1">
    <w:name w:val="Nupar1"/>
    <w:basedOn w:val="Numapr1"/>
    <w:rsid w:val="000F0BC5"/>
  </w:style>
  <w:style w:type="paragraph" w:customStyle="1" w:styleId="Numar1">
    <w:name w:val="Numar1"/>
    <w:basedOn w:val="a1"/>
    <w:rsid w:val="000F0BC5"/>
  </w:style>
  <w:style w:type="paragraph" w:customStyle="1" w:styleId="norm">
    <w:name w:val="norm"/>
    <w:basedOn w:val="a1"/>
    <w:rsid w:val="000F0BC5"/>
    <w:pPr>
      <w:spacing w:after="0"/>
    </w:pPr>
    <w:rPr>
      <w:rFonts w:eastAsia="Times New Roman"/>
      <w:szCs w:val="24"/>
    </w:rPr>
  </w:style>
  <w:style w:type="paragraph" w:customStyle="1" w:styleId="Normal1">
    <w:name w:val="Normal1"/>
    <w:basedOn w:val="a1"/>
    <w:rsid w:val="000F0BC5"/>
    <w:pPr>
      <w:spacing w:after="0"/>
    </w:pPr>
    <w:rPr>
      <w:rFonts w:eastAsia="Times New Roman"/>
      <w:szCs w:val="24"/>
    </w:rPr>
  </w:style>
  <w:style w:type="paragraph" w:customStyle="1" w:styleId="Tex1">
    <w:name w:val="Tex1"/>
    <w:basedOn w:val="a1"/>
    <w:rsid w:val="000F0BC5"/>
  </w:style>
  <w:style w:type="paragraph" w:customStyle="1" w:styleId="Num">
    <w:name w:val="Num"/>
    <w:basedOn w:val="a1"/>
    <w:rsid w:val="000F0BC5"/>
    <w:pPr>
      <w:tabs>
        <w:tab w:val="num" w:pos="850"/>
      </w:tabs>
      <w:ind w:left="850" w:hanging="850"/>
    </w:pPr>
  </w:style>
  <w:style w:type="paragraph" w:customStyle="1" w:styleId="FootnoteText1">
    <w:name w:val="Footnote Text1"/>
    <w:basedOn w:val="Point0letter"/>
    <w:qFormat/>
    <w:rsid w:val="000F0BC5"/>
  </w:style>
  <w:style w:type="paragraph" w:customStyle="1" w:styleId="partTitre">
    <w:name w:val="partTitre"/>
    <w:basedOn w:val="Titrearticle"/>
    <w:rsid w:val="000F0BC5"/>
  </w:style>
  <w:style w:type="paragraph" w:customStyle="1" w:styleId="ChapterTI">
    <w:name w:val="Chapter TI"/>
    <w:basedOn w:val="a1"/>
    <w:rsid w:val="000F0BC5"/>
  </w:style>
  <w:style w:type="paragraph" w:customStyle="1" w:styleId="Point">
    <w:name w:val="Point"/>
    <w:basedOn w:val="a1"/>
    <w:rsid w:val="000F0BC5"/>
    <w:pPr>
      <w:tabs>
        <w:tab w:val="left" w:pos="510"/>
        <w:tab w:val="left" w:pos="1020"/>
        <w:tab w:val="left" w:pos="1531"/>
        <w:tab w:val="left" w:pos="2041"/>
        <w:tab w:val="left" w:pos="2551"/>
        <w:tab w:val="left" w:pos="3061"/>
        <w:tab w:val="left" w:pos="3572"/>
        <w:tab w:val="left" w:pos="4082"/>
        <w:tab w:val="left" w:pos="4592"/>
        <w:tab w:val="left" w:pos="5102"/>
      </w:tabs>
      <w:spacing w:before="0"/>
      <w:ind w:left="510" w:hanging="510"/>
    </w:pPr>
    <w:rPr>
      <w:rFonts w:eastAsia="Times New Roman"/>
      <w:sz w:val="20"/>
      <w:szCs w:val="24"/>
    </w:rPr>
  </w:style>
  <w:style w:type="paragraph" w:customStyle="1" w:styleId="poin">
    <w:name w:val="poin"/>
    <w:basedOn w:val="Text1"/>
    <w:rsid w:val="000F0BC5"/>
  </w:style>
  <w:style w:type="paragraph" w:customStyle="1" w:styleId="Opoint1">
    <w:name w:val="Opoint 1"/>
    <w:basedOn w:val="Point0letter"/>
    <w:rsid w:val="000F0BC5"/>
    <w:pPr>
      <w:numPr>
        <w:ilvl w:val="0"/>
        <w:numId w:val="0"/>
      </w:numPr>
      <w:tabs>
        <w:tab w:val="num" w:pos="850"/>
      </w:tabs>
      <w:ind w:left="850" w:hanging="850"/>
    </w:pPr>
  </w:style>
  <w:style w:type="paragraph" w:customStyle="1" w:styleId="Part">
    <w:name w:val="Part"/>
    <w:basedOn w:val="Point2number"/>
    <w:rsid w:val="000F0BC5"/>
    <w:pPr>
      <w:numPr>
        <w:ilvl w:val="0"/>
        <w:numId w:val="0"/>
      </w:numPr>
      <w:tabs>
        <w:tab w:val="num" w:pos="1984"/>
      </w:tabs>
      <w:ind w:left="1984" w:hanging="567"/>
    </w:pPr>
  </w:style>
  <w:style w:type="paragraph" w:customStyle="1" w:styleId="Chapter">
    <w:name w:val="Chapter"/>
    <w:basedOn w:val="Point2number"/>
    <w:rsid w:val="000F0BC5"/>
    <w:pPr>
      <w:numPr>
        <w:ilvl w:val="0"/>
        <w:numId w:val="0"/>
      </w:numPr>
      <w:tabs>
        <w:tab w:val="num" w:pos="1984"/>
      </w:tabs>
      <w:ind w:left="1984" w:hanging="567"/>
    </w:pPr>
  </w:style>
  <w:style w:type="paragraph" w:customStyle="1" w:styleId="af">
    <w:name w:val="#"/>
    <w:basedOn w:val="Point0letter"/>
    <w:rsid w:val="000F0BC5"/>
    <w:pPr>
      <w:numPr>
        <w:ilvl w:val="0"/>
        <w:numId w:val="0"/>
      </w:numPr>
      <w:tabs>
        <w:tab w:val="num" w:pos="850"/>
      </w:tabs>
      <w:ind w:left="960" w:hanging="850"/>
    </w:pPr>
  </w:style>
  <w:style w:type="paragraph" w:customStyle="1" w:styleId="Article">
    <w:name w:val="Article"/>
    <w:basedOn w:val="Point0letter"/>
    <w:rsid w:val="000F0BC5"/>
    <w:pPr>
      <w:numPr>
        <w:ilvl w:val="0"/>
        <w:numId w:val="0"/>
      </w:numPr>
      <w:tabs>
        <w:tab w:val="num" w:pos="850"/>
      </w:tabs>
      <w:ind w:left="850" w:hanging="850"/>
    </w:pPr>
  </w:style>
  <w:style w:type="paragraph" w:customStyle="1" w:styleId="Parnum">
    <w:name w:val="Parnum"/>
    <w:basedOn w:val="Text1"/>
    <w:rsid w:val="000F0BC5"/>
  </w:style>
  <w:style w:type="paragraph" w:customStyle="1" w:styleId="PointLETT">
    <w:name w:val="Point = LETT"/>
    <w:basedOn w:val="NumPar1"/>
    <w:rsid w:val="000F0BC5"/>
    <w:pPr>
      <w:numPr>
        <w:numId w:val="0"/>
      </w:numPr>
      <w:tabs>
        <w:tab w:val="num" w:pos="850"/>
      </w:tabs>
      <w:ind w:left="850" w:hanging="850"/>
    </w:pPr>
  </w:style>
  <w:style w:type="paragraph" w:customStyle="1" w:styleId="ChapterTItre">
    <w:name w:val="Chapter TItre"/>
    <w:basedOn w:val="Point2number"/>
    <w:rsid w:val="000F0BC5"/>
    <w:pPr>
      <w:numPr>
        <w:ilvl w:val="0"/>
        <w:numId w:val="0"/>
      </w:numPr>
      <w:tabs>
        <w:tab w:val="num" w:pos="1984"/>
      </w:tabs>
      <w:ind w:left="1984" w:hanging="567"/>
    </w:pPr>
  </w:style>
  <w:style w:type="paragraph" w:customStyle="1" w:styleId="PointL">
    <w:name w:val="Point L"/>
    <w:basedOn w:val="NumPar1"/>
    <w:rsid w:val="000F0BC5"/>
    <w:pPr>
      <w:numPr>
        <w:numId w:val="0"/>
      </w:numPr>
      <w:tabs>
        <w:tab w:val="num" w:pos="850"/>
      </w:tabs>
      <w:ind w:left="850" w:hanging="850"/>
    </w:pPr>
  </w:style>
  <w:style w:type="paragraph" w:customStyle="1" w:styleId="Titr">
    <w:name w:val="Titr"/>
    <w:basedOn w:val="NumPar1"/>
    <w:rsid w:val="000F0BC5"/>
    <w:pPr>
      <w:numPr>
        <w:numId w:val="0"/>
      </w:numPr>
      <w:tabs>
        <w:tab w:val="num" w:pos="850"/>
      </w:tabs>
      <w:ind w:left="850" w:hanging="850"/>
    </w:pPr>
    <w:rPr>
      <w:i/>
    </w:rPr>
  </w:style>
  <w:style w:type="paragraph" w:customStyle="1" w:styleId="Partti">
    <w:name w:val="Part ti"/>
    <w:basedOn w:val="ChapterTitle"/>
    <w:rsid w:val="000F0BC5"/>
  </w:style>
  <w:style w:type="paragraph" w:customStyle="1" w:styleId="TitreARTICLE0">
    <w:name w:val="TitreARTICLE"/>
    <w:basedOn w:val="ChapterTitle"/>
    <w:rsid w:val="000F0BC5"/>
  </w:style>
  <w:style w:type="paragraph" w:customStyle="1" w:styleId="Itre">
    <w:name w:val="Itre"/>
    <w:basedOn w:val="a1"/>
    <w:rsid w:val="000F0BC5"/>
    <w:pPr>
      <w:spacing w:before="0" w:after="200" w:line="276" w:lineRule="auto"/>
      <w:jc w:val="left"/>
    </w:pPr>
    <w:rPr>
      <w:rFonts w:asciiTheme="minorHAnsi" w:hAnsiTheme="minorHAnsi" w:cstheme="minorBidi"/>
      <w:sz w:val="22"/>
    </w:rPr>
  </w:style>
  <w:style w:type="paragraph" w:customStyle="1" w:styleId="Titrearticel">
    <w:name w:val="Titre articel"/>
    <w:basedOn w:val="a1"/>
    <w:rsid w:val="000F0BC5"/>
    <w:rPr>
      <w:rFonts w:eastAsia="Calibri"/>
    </w:rPr>
  </w:style>
  <w:style w:type="paragraph" w:customStyle="1" w:styleId="Titre">
    <w:name w:val="Titre+"/>
    <w:basedOn w:val="Titrearticel"/>
    <w:rsid w:val="000F0BC5"/>
  </w:style>
  <w:style w:type="paragraph" w:customStyle="1" w:styleId="stitle-article-norm">
    <w:name w:val="stitle-article-norm"/>
    <w:basedOn w:val="a1"/>
    <w:rsid w:val="000F0BC5"/>
    <w:pPr>
      <w:spacing w:before="240"/>
      <w:jc w:val="center"/>
    </w:pPr>
    <w:rPr>
      <w:rFonts w:eastAsia="Times New Roman"/>
      <w:b/>
      <w:bCs/>
      <w:szCs w:val="24"/>
    </w:rPr>
  </w:style>
  <w:style w:type="paragraph" w:customStyle="1" w:styleId="Titl">
    <w:name w:val="Titl"/>
    <w:basedOn w:val="stitle-article-norm"/>
    <w:rsid w:val="000F0BC5"/>
  </w:style>
  <w:style w:type="paragraph" w:customStyle="1" w:styleId="Tim">
    <w:name w:val="Tim"/>
    <w:basedOn w:val="a1"/>
    <w:rsid w:val="000F0BC5"/>
    <w:pPr>
      <w:numPr>
        <w:numId w:val="82"/>
      </w:numPr>
      <w:spacing w:before="0" w:after="200" w:line="276" w:lineRule="auto"/>
      <w:contextualSpacing/>
      <w:jc w:val="left"/>
    </w:pPr>
    <w:rPr>
      <w:rFonts w:asciiTheme="minorHAnsi" w:hAnsiTheme="minorHAnsi" w:cstheme="minorBidi"/>
      <w:sz w:val="22"/>
    </w:rPr>
  </w:style>
  <w:style w:type="paragraph" w:customStyle="1" w:styleId="PointLetter">
    <w:name w:val="Point Letter"/>
    <w:basedOn w:val="ListNumberLevel4"/>
    <w:rsid w:val="000F0BC5"/>
    <w:pPr>
      <w:numPr>
        <w:ilvl w:val="0"/>
        <w:numId w:val="0"/>
      </w:numPr>
      <w:tabs>
        <w:tab w:val="num" w:pos="850"/>
      </w:tabs>
      <w:ind w:left="850" w:hanging="850"/>
    </w:pPr>
  </w:style>
  <w:style w:type="table" w:styleId="af0">
    <w:name w:val="Table Grid"/>
    <w:basedOn w:val="a3"/>
    <w:uiPriority w:val="59"/>
    <w:rsid w:val="000F0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al">
    <w:name w:val="Nomal"/>
    <w:basedOn w:val="Text1"/>
    <w:rsid w:val="000F0BC5"/>
  </w:style>
  <w:style w:type="paragraph" w:customStyle="1" w:styleId="Normale1">
    <w:name w:val="Normale1"/>
    <w:basedOn w:val="a1"/>
    <w:rsid w:val="000F0BC5"/>
    <w:pPr>
      <w:spacing w:before="100" w:beforeAutospacing="1" w:after="100" w:afterAutospacing="1"/>
      <w:jc w:val="left"/>
    </w:pPr>
    <w:rPr>
      <w:rFonts w:eastAsia="Times New Roman"/>
      <w:szCs w:val="24"/>
    </w:rPr>
  </w:style>
  <w:style w:type="paragraph" w:customStyle="1" w:styleId="Para">
    <w:name w:val="Para"/>
    <w:basedOn w:val="a5"/>
    <w:rsid w:val="000F0BC5"/>
    <w:pPr>
      <w:numPr>
        <w:numId w:val="83"/>
      </w:numPr>
      <w:spacing w:before="0" w:after="0"/>
      <w:contextualSpacing w:val="0"/>
      <w:jc w:val="left"/>
    </w:pPr>
    <w:rPr>
      <w:rFonts w:asciiTheme="minorHAnsi" w:hAnsiTheme="minorHAnsi" w:cstheme="minorBidi"/>
      <w:sz w:val="22"/>
    </w:rPr>
  </w:style>
  <w:style w:type="paragraph" w:customStyle="1" w:styleId="Titreaticle">
    <w:name w:val="Titre aticle"/>
    <w:basedOn w:val="NumPar1"/>
    <w:rsid w:val="000F0BC5"/>
    <w:pPr>
      <w:numPr>
        <w:numId w:val="0"/>
      </w:numPr>
      <w:tabs>
        <w:tab w:val="num" w:pos="850"/>
      </w:tabs>
      <w:ind w:left="850" w:hanging="850"/>
    </w:pPr>
  </w:style>
  <w:style w:type="paragraph" w:customStyle="1" w:styleId="Rnormal">
    <w:name w:val="Rnormal"/>
    <w:basedOn w:val="NumPar1"/>
    <w:rsid w:val="000F0BC5"/>
    <w:pPr>
      <w:numPr>
        <w:numId w:val="0"/>
      </w:numPr>
      <w:tabs>
        <w:tab w:val="num" w:pos="850"/>
      </w:tabs>
      <w:ind w:left="850" w:hanging="850"/>
    </w:pPr>
  </w:style>
  <w:style w:type="paragraph" w:styleId="af1">
    <w:name w:val="No Spacing"/>
    <w:uiPriority w:val="1"/>
    <w:qFormat/>
    <w:rsid w:val="000F0BC5"/>
    <w:pPr>
      <w:spacing w:after="0" w:line="240" w:lineRule="auto"/>
      <w:jc w:val="both"/>
    </w:pPr>
    <w:rPr>
      <w:rFonts w:ascii="Times New Roman" w:hAnsi="Times New Roman" w:cs="Times New Roman"/>
      <w:sz w:val="24"/>
    </w:rPr>
  </w:style>
  <w:style w:type="paragraph" w:customStyle="1" w:styleId="Br">
    <w:name w:val="Br"/>
    <w:basedOn w:val="Titrearticle"/>
    <w:rsid w:val="000F0BC5"/>
    <w:rPr>
      <w:b/>
      <w:i w:val="0"/>
    </w:rPr>
  </w:style>
  <w:style w:type="paragraph" w:customStyle="1" w:styleId="Numpar">
    <w:name w:val="Num par"/>
    <w:basedOn w:val="a1"/>
    <w:rsid w:val="000F0BC5"/>
    <w:pPr>
      <w:spacing w:before="0" w:after="0"/>
    </w:pPr>
  </w:style>
  <w:style w:type="table" w:customStyle="1" w:styleId="TableGrid1">
    <w:name w:val="Table Grid1"/>
    <w:basedOn w:val="a3"/>
    <w:next w:val="af0"/>
    <w:uiPriority w:val="59"/>
    <w:rsid w:val="000F0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rearttcle">
    <w:name w:val="Titre arttcle"/>
    <w:basedOn w:val="a1"/>
    <w:rsid w:val="000F0BC5"/>
    <w:pPr>
      <w:spacing w:before="0" w:after="200" w:line="276" w:lineRule="auto"/>
      <w:jc w:val="left"/>
    </w:pPr>
    <w:rPr>
      <w:rFonts w:asciiTheme="minorHAnsi" w:hAnsiTheme="minorHAnsi" w:cstheme="minorBidi"/>
      <w:color w:val="1F497D" w:themeColor="dark2"/>
      <w:sz w:val="22"/>
    </w:rPr>
  </w:style>
  <w:style w:type="character" w:styleId="-0">
    <w:name w:val="FollowedHyperlink"/>
    <w:basedOn w:val="a2"/>
    <w:unhideWhenUsed/>
    <w:rsid w:val="000F0BC5"/>
    <w:rPr>
      <w:color w:val="800080" w:themeColor="followedHyperlink"/>
      <w:u w:val="single"/>
    </w:rPr>
  </w:style>
  <w:style w:type="character" w:styleId="af2">
    <w:name w:val="Strong"/>
    <w:basedOn w:val="a2"/>
    <w:uiPriority w:val="22"/>
    <w:qFormat/>
    <w:rsid w:val="000F0BC5"/>
    <w:rPr>
      <w:b/>
      <w:bCs/>
    </w:rPr>
  </w:style>
  <w:style w:type="numbering" w:customStyle="1" w:styleId="NoList1">
    <w:name w:val="No List1"/>
    <w:next w:val="a4"/>
    <w:uiPriority w:val="99"/>
    <w:semiHidden/>
    <w:unhideWhenUsed/>
    <w:rsid w:val="000F0BC5"/>
  </w:style>
  <w:style w:type="paragraph" w:customStyle="1" w:styleId="ListDash">
    <w:name w:val="List Dash"/>
    <w:basedOn w:val="a1"/>
    <w:rsid w:val="000F0BC5"/>
    <w:pPr>
      <w:numPr>
        <w:numId w:val="84"/>
      </w:numPr>
    </w:pPr>
    <w:rPr>
      <w:rFonts w:eastAsia="Times New Roman"/>
    </w:rPr>
  </w:style>
  <w:style w:type="paragraph" w:customStyle="1" w:styleId="Sous-titreobjet">
    <w:name w:val="Sous-titre objet"/>
    <w:basedOn w:val="a1"/>
    <w:rsid w:val="000F0BC5"/>
    <w:pPr>
      <w:spacing w:before="0" w:after="0"/>
      <w:jc w:val="center"/>
    </w:pPr>
    <w:rPr>
      <w:rFonts w:eastAsia="Times New Roman"/>
      <w:b/>
    </w:rPr>
  </w:style>
  <w:style w:type="paragraph" w:customStyle="1" w:styleId="Sous-titreobjetPagedecouverture">
    <w:name w:val="Sous-titre objet (Page de couverture)"/>
    <w:basedOn w:val="Sous-titreobjet"/>
    <w:rsid w:val="000F0BC5"/>
  </w:style>
  <w:style w:type="numbering" w:customStyle="1" w:styleId="NoList2">
    <w:name w:val="No List2"/>
    <w:next w:val="a4"/>
    <w:uiPriority w:val="99"/>
    <w:semiHidden/>
    <w:unhideWhenUsed/>
    <w:rsid w:val="000F0BC5"/>
  </w:style>
  <w:style w:type="paragraph" w:customStyle="1" w:styleId="ManualHeading2g1">
    <w:name w:val="Manual Heading 2g 1"/>
    <w:basedOn w:val="ManualHeading1"/>
    <w:rsid w:val="000F0BC5"/>
    <w:rPr>
      <w:noProof/>
    </w:rPr>
  </w:style>
  <w:style w:type="paragraph" w:customStyle="1" w:styleId="ChapterTitle0">
    <w:name w:val="ChapterTitle"/>
    <w:basedOn w:val="a1"/>
    <w:next w:val="a1"/>
    <w:rsid w:val="000F0BC5"/>
    <w:pPr>
      <w:keepNext/>
      <w:spacing w:after="360"/>
      <w:jc w:val="center"/>
    </w:pPr>
    <w:rPr>
      <w:b/>
      <w:sz w:val="32"/>
    </w:rPr>
  </w:style>
  <w:style w:type="paragraph" w:customStyle="1" w:styleId="Titrearticle1">
    <w:name w:val="Titre article"/>
    <w:basedOn w:val="a1"/>
    <w:next w:val="a1"/>
    <w:rsid w:val="000F0BC5"/>
    <w:pPr>
      <w:keepNext/>
      <w:spacing w:before="360"/>
      <w:jc w:val="center"/>
    </w:pPr>
    <w:rPr>
      <w:i/>
    </w:rPr>
  </w:style>
  <w:style w:type="paragraph" w:customStyle="1" w:styleId="Titrearticle2">
    <w:name w:val="Titre article"/>
    <w:basedOn w:val="a1"/>
    <w:next w:val="a1"/>
    <w:rsid w:val="000F0BC5"/>
    <w:pPr>
      <w:keepNext/>
      <w:spacing w:before="360"/>
      <w:jc w:val="center"/>
    </w:pPr>
    <w:rPr>
      <w:i/>
    </w:rPr>
  </w:style>
  <w:style w:type="paragraph" w:customStyle="1" w:styleId="Point1">
    <w:name w:val="Point 1"/>
    <w:basedOn w:val="a1"/>
    <w:rsid w:val="000F0BC5"/>
    <w:pPr>
      <w:ind w:left="1417" w:hanging="567"/>
    </w:pPr>
  </w:style>
  <w:style w:type="paragraph" w:styleId="af3">
    <w:name w:val="header"/>
    <w:basedOn w:val="a1"/>
    <w:link w:val="Char4"/>
    <w:uiPriority w:val="99"/>
    <w:unhideWhenUsed/>
    <w:rsid w:val="005B0D19"/>
    <w:pPr>
      <w:tabs>
        <w:tab w:val="center" w:pos="4535"/>
        <w:tab w:val="right" w:pos="9071"/>
      </w:tabs>
      <w:spacing w:before="0"/>
    </w:pPr>
    <w:rPr>
      <w:lang w:eastAsia="en-US" w:bidi="ar-SA"/>
    </w:rPr>
  </w:style>
  <w:style w:type="character" w:customStyle="1" w:styleId="Char4">
    <w:name w:val="Κεφαλίδα Char"/>
    <w:basedOn w:val="a2"/>
    <w:link w:val="af3"/>
    <w:uiPriority w:val="99"/>
    <w:rsid w:val="005B0D19"/>
    <w:rPr>
      <w:rFonts w:ascii="Times New Roman" w:hAnsi="Times New Roman" w:cs="Times New Roman"/>
      <w:sz w:val="24"/>
      <w:lang w:eastAsia="en-US" w:bidi="ar-SA"/>
    </w:rPr>
  </w:style>
  <w:style w:type="paragraph" w:styleId="af4">
    <w:name w:val="footer"/>
    <w:basedOn w:val="a1"/>
    <w:link w:val="Char5"/>
    <w:uiPriority w:val="99"/>
    <w:unhideWhenUsed/>
    <w:rsid w:val="005B0D19"/>
    <w:pPr>
      <w:tabs>
        <w:tab w:val="center" w:pos="4535"/>
        <w:tab w:val="right" w:pos="9071"/>
        <w:tab w:val="right" w:pos="9921"/>
      </w:tabs>
      <w:spacing w:before="360" w:after="0"/>
      <w:ind w:left="-850" w:right="-850"/>
      <w:jc w:val="left"/>
    </w:pPr>
    <w:rPr>
      <w:lang w:eastAsia="en-US" w:bidi="ar-SA"/>
    </w:rPr>
  </w:style>
  <w:style w:type="character" w:customStyle="1" w:styleId="Char5">
    <w:name w:val="Υποσέλιδο Char"/>
    <w:basedOn w:val="a2"/>
    <w:link w:val="af4"/>
    <w:uiPriority w:val="99"/>
    <w:rsid w:val="005B0D19"/>
    <w:rPr>
      <w:rFonts w:ascii="Times New Roman" w:hAnsi="Times New Roman" w:cs="Times New Roman"/>
      <w:sz w:val="24"/>
      <w:lang w:eastAsia="en-US" w:bidi="ar-SA"/>
    </w:rPr>
  </w:style>
  <w:style w:type="paragraph" w:styleId="af5">
    <w:name w:val="footnote text"/>
    <w:basedOn w:val="a1"/>
    <w:link w:val="Char6"/>
    <w:uiPriority w:val="99"/>
    <w:semiHidden/>
    <w:unhideWhenUsed/>
    <w:rsid w:val="000F0BC5"/>
    <w:pPr>
      <w:spacing w:before="0" w:after="0"/>
      <w:ind w:left="720" w:hanging="720"/>
    </w:pPr>
    <w:rPr>
      <w:sz w:val="20"/>
      <w:szCs w:val="20"/>
    </w:rPr>
  </w:style>
  <w:style w:type="character" w:customStyle="1" w:styleId="Char6">
    <w:name w:val="Κείμενο υποσημείωσης Char"/>
    <w:basedOn w:val="a2"/>
    <w:link w:val="af5"/>
    <w:uiPriority w:val="99"/>
    <w:semiHidden/>
    <w:rsid w:val="000F0BC5"/>
    <w:rPr>
      <w:rFonts w:ascii="Times New Roman" w:hAnsi="Times New Roman" w:cs="Times New Roman"/>
      <w:sz w:val="20"/>
      <w:szCs w:val="20"/>
      <w:shd w:val="clear" w:color="auto" w:fill="auto"/>
      <w:lang w:val="en-GB"/>
    </w:rPr>
  </w:style>
  <w:style w:type="character" w:customStyle="1" w:styleId="1Char">
    <w:name w:val="Επικεφαλίδα 1 Char"/>
    <w:basedOn w:val="a2"/>
    <w:link w:val="1"/>
    <w:uiPriority w:val="9"/>
    <w:rsid w:val="000F0BC5"/>
    <w:rPr>
      <w:rFonts w:ascii="Times New Roman" w:eastAsiaTheme="majorEastAsia" w:hAnsi="Times New Roman" w:cs="Times New Roman"/>
      <w:b/>
      <w:bCs/>
      <w:smallCaps/>
      <w:sz w:val="24"/>
      <w:szCs w:val="28"/>
      <w:lang w:val="en-GB"/>
    </w:rPr>
  </w:style>
  <w:style w:type="character" w:customStyle="1" w:styleId="2Char">
    <w:name w:val="Επικεφαλίδα 2 Char"/>
    <w:basedOn w:val="a2"/>
    <w:link w:val="21"/>
    <w:uiPriority w:val="9"/>
    <w:semiHidden/>
    <w:rsid w:val="000F0BC5"/>
    <w:rPr>
      <w:rFonts w:ascii="Times New Roman" w:eastAsiaTheme="majorEastAsia" w:hAnsi="Times New Roman" w:cs="Times New Roman"/>
      <w:b/>
      <w:bCs/>
      <w:sz w:val="24"/>
      <w:szCs w:val="26"/>
      <w:lang w:val="en-GB"/>
    </w:rPr>
  </w:style>
  <w:style w:type="character" w:customStyle="1" w:styleId="3Char">
    <w:name w:val="Επικεφαλίδα 3 Char"/>
    <w:basedOn w:val="a2"/>
    <w:link w:val="31"/>
    <w:uiPriority w:val="9"/>
    <w:semiHidden/>
    <w:rsid w:val="000F0BC5"/>
    <w:rPr>
      <w:rFonts w:ascii="Times New Roman" w:eastAsiaTheme="majorEastAsia" w:hAnsi="Times New Roman" w:cs="Times New Roman"/>
      <w:bCs/>
      <w:i/>
      <w:sz w:val="24"/>
      <w:lang w:val="en-GB"/>
    </w:rPr>
  </w:style>
  <w:style w:type="character" w:customStyle="1" w:styleId="4Char">
    <w:name w:val="Επικεφαλίδα 4 Char"/>
    <w:basedOn w:val="a2"/>
    <w:link w:val="41"/>
    <w:uiPriority w:val="9"/>
    <w:semiHidden/>
    <w:rsid w:val="000F0BC5"/>
    <w:rPr>
      <w:rFonts w:ascii="Times New Roman" w:eastAsiaTheme="majorEastAsia" w:hAnsi="Times New Roman" w:cs="Times New Roman"/>
      <w:bCs/>
      <w:iCs/>
      <w:sz w:val="24"/>
      <w:lang w:val="en-GB"/>
    </w:rPr>
  </w:style>
  <w:style w:type="paragraph" w:styleId="af6">
    <w:name w:val="TOC Heading"/>
    <w:basedOn w:val="a1"/>
    <w:next w:val="a1"/>
    <w:uiPriority w:val="39"/>
    <w:semiHidden/>
    <w:unhideWhenUsed/>
    <w:qFormat/>
    <w:rsid w:val="000F0BC5"/>
    <w:pPr>
      <w:spacing w:after="240"/>
      <w:jc w:val="center"/>
    </w:pPr>
    <w:rPr>
      <w:b/>
      <w:sz w:val="28"/>
    </w:rPr>
  </w:style>
  <w:style w:type="paragraph" w:styleId="10">
    <w:name w:val="toc 1"/>
    <w:basedOn w:val="a1"/>
    <w:next w:val="a1"/>
    <w:uiPriority w:val="39"/>
    <w:semiHidden/>
    <w:unhideWhenUsed/>
    <w:rsid w:val="000F0BC5"/>
    <w:pPr>
      <w:tabs>
        <w:tab w:val="right" w:leader="dot" w:pos="9071"/>
      </w:tabs>
      <w:spacing w:before="60"/>
      <w:ind w:left="850" w:hanging="850"/>
      <w:jc w:val="left"/>
    </w:pPr>
  </w:style>
  <w:style w:type="paragraph" w:styleId="22">
    <w:name w:val="toc 2"/>
    <w:basedOn w:val="a1"/>
    <w:next w:val="a1"/>
    <w:uiPriority w:val="39"/>
    <w:semiHidden/>
    <w:unhideWhenUsed/>
    <w:rsid w:val="000F0BC5"/>
    <w:pPr>
      <w:tabs>
        <w:tab w:val="right" w:leader="dot" w:pos="9071"/>
      </w:tabs>
      <w:spacing w:before="60"/>
      <w:ind w:left="850" w:hanging="850"/>
      <w:jc w:val="left"/>
    </w:pPr>
  </w:style>
  <w:style w:type="paragraph" w:styleId="32">
    <w:name w:val="toc 3"/>
    <w:basedOn w:val="a1"/>
    <w:next w:val="a1"/>
    <w:uiPriority w:val="39"/>
    <w:semiHidden/>
    <w:unhideWhenUsed/>
    <w:rsid w:val="000F0BC5"/>
    <w:pPr>
      <w:tabs>
        <w:tab w:val="right" w:leader="dot" w:pos="9071"/>
      </w:tabs>
      <w:spacing w:before="60"/>
      <w:ind w:left="850" w:hanging="850"/>
      <w:jc w:val="left"/>
    </w:pPr>
  </w:style>
  <w:style w:type="paragraph" w:styleId="42">
    <w:name w:val="toc 4"/>
    <w:basedOn w:val="a1"/>
    <w:next w:val="a1"/>
    <w:uiPriority w:val="39"/>
    <w:semiHidden/>
    <w:unhideWhenUsed/>
    <w:rsid w:val="000F0BC5"/>
    <w:pPr>
      <w:tabs>
        <w:tab w:val="right" w:leader="dot" w:pos="9071"/>
      </w:tabs>
      <w:spacing w:before="60"/>
      <w:ind w:left="850" w:hanging="850"/>
      <w:jc w:val="left"/>
    </w:pPr>
  </w:style>
  <w:style w:type="paragraph" w:styleId="5">
    <w:name w:val="toc 5"/>
    <w:basedOn w:val="a1"/>
    <w:next w:val="a1"/>
    <w:uiPriority w:val="39"/>
    <w:semiHidden/>
    <w:unhideWhenUsed/>
    <w:rsid w:val="000F0BC5"/>
    <w:pPr>
      <w:tabs>
        <w:tab w:val="right" w:leader="dot" w:pos="9071"/>
      </w:tabs>
      <w:spacing w:before="300"/>
      <w:jc w:val="left"/>
    </w:pPr>
  </w:style>
  <w:style w:type="paragraph" w:styleId="6">
    <w:name w:val="toc 6"/>
    <w:basedOn w:val="a1"/>
    <w:next w:val="a1"/>
    <w:uiPriority w:val="39"/>
    <w:semiHidden/>
    <w:unhideWhenUsed/>
    <w:rsid w:val="000F0BC5"/>
    <w:pPr>
      <w:tabs>
        <w:tab w:val="right" w:leader="dot" w:pos="9071"/>
      </w:tabs>
      <w:spacing w:before="240"/>
      <w:jc w:val="left"/>
    </w:pPr>
  </w:style>
  <w:style w:type="paragraph" w:styleId="7">
    <w:name w:val="toc 7"/>
    <w:basedOn w:val="a1"/>
    <w:next w:val="a1"/>
    <w:uiPriority w:val="39"/>
    <w:semiHidden/>
    <w:unhideWhenUsed/>
    <w:rsid w:val="000F0BC5"/>
    <w:pPr>
      <w:tabs>
        <w:tab w:val="right" w:leader="dot" w:pos="9071"/>
      </w:tabs>
      <w:spacing w:before="180"/>
      <w:jc w:val="left"/>
    </w:pPr>
  </w:style>
  <w:style w:type="paragraph" w:styleId="8">
    <w:name w:val="toc 8"/>
    <w:basedOn w:val="a1"/>
    <w:next w:val="a1"/>
    <w:uiPriority w:val="39"/>
    <w:semiHidden/>
    <w:unhideWhenUsed/>
    <w:rsid w:val="000F0BC5"/>
    <w:pPr>
      <w:tabs>
        <w:tab w:val="right" w:leader="dot" w:pos="9071"/>
      </w:tabs>
      <w:jc w:val="left"/>
    </w:pPr>
  </w:style>
  <w:style w:type="paragraph" w:styleId="9">
    <w:name w:val="toc 9"/>
    <w:basedOn w:val="a1"/>
    <w:next w:val="a1"/>
    <w:uiPriority w:val="39"/>
    <w:semiHidden/>
    <w:unhideWhenUsed/>
    <w:rsid w:val="000F0BC5"/>
    <w:pPr>
      <w:tabs>
        <w:tab w:val="right" w:leader="dot" w:pos="9071"/>
      </w:tabs>
    </w:pPr>
  </w:style>
  <w:style w:type="paragraph" w:customStyle="1" w:styleId="HeaderLandscape">
    <w:name w:val="HeaderLandscape"/>
    <w:basedOn w:val="a1"/>
    <w:rsid w:val="005B0D19"/>
    <w:pPr>
      <w:tabs>
        <w:tab w:val="center" w:pos="7285"/>
        <w:tab w:val="right" w:pos="14003"/>
      </w:tabs>
      <w:spacing w:before="0"/>
    </w:pPr>
    <w:rPr>
      <w:lang w:eastAsia="en-US" w:bidi="ar-SA"/>
    </w:rPr>
  </w:style>
  <w:style w:type="paragraph" w:customStyle="1" w:styleId="FooterLandscape">
    <w:name w:val="FooterLandscape"/>
    <w:basedOn w:val="a1"/>
    <w:rsid w:val="005B0D19"/>
    <w:pPr>
      <w:tabs>
        <w:tab w:val="center" w:pos="7285"/>
        <w:tab w:val="center" w:pos="10913"/>
        <w:tab w:val="right" w:pos="15137"/>
      </w:tabs>
      <w:spacing w:before="360" w:after="0"/>
      <w:ind w:left="-567" w:right="-567"/>
      <w:jc w:val="left"/>
    </w:pPr>
    <w:rPr>
      <w:lang w:eastAsia="en-US" w:bidi="ar-SA"/>
    </w:rPr>
  </w:style>
  <w:style w:type="character" w:styleId="af7">
    <w:name w:val="footnote reference"/>
    <w:basedOn w:val="a2"/>
    <w:uiPriority w:val="99"/>
    <w:semiHidden/>
    <w:unhideWhenUsed/>
    <w:rsid w:val="000F0BC5"/>
    <w:rPr>
      <w:shd w:val="clear" w:color="auto" w:fill="auto"/>
      <w:vertAlign w:val="superscript"/>
    </w:rPr>
  </w:style>
  <w:style w:type="paragraph" w:customStyle="1" w:styleId="HeaderSensitivity">
    <w:name w:val="Header Sensitivity"/>
    <w:basedOn w:val="a1"/>
    <w:rsid w:val="005B0D19"/>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a1"/>
    <w:rsid w:val="005B0D19"/>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a1"/>
    <w:rsid w:val="000F0BC5"/>
    <w:pPr>
      <w:ind w:left="850"/>
    </w:pPr>
  </w:style>
  <w:style w:type="paragraph" w:customStyle="1" w:styleId="Text2">
    <w:name w:val="Text 2"/>
    <w:basedOn w:val="a1"/>
    <w:rsid w:val="000F0BC5"/>
    <w:pPr>
      <w:ind w:left="1417"/>
    </w:pPr>
  </w:style>
  <w:style w:type="paragraph" w:customStyle="1" w:styleId="Text3">
    <w:name w:val="Text 3"/>
    <w:basedOn w:val="a1"/>
    <w:rsid w:val="000F0BC5"/>
    <w:pPr>
      <w:ind w:left="1984"/>
    </w:pPr>
  </w:style>
  <w:style w:type="paragraph" w:customStyle="1" w:styleId="Text4">
    <w:name w:val="Text 4"/>
    <w:basedOn w:val="a1"/>
    <w:rsid w:val="000F0BC5"/>
    <w:pPr>
      <w:ind w:left="2551"/>
    </w:pPr>
  </w:style>
  <w:style w:type="paragraph" w:customStyle="1" w:styleId="NormalCentered">
    <w:name w:val="Normal Centered"/>
    <w:basedOn w:val="a1"/>
    <w:rsid w:val="000F0BC5"/>
    <w:pPr>
      <w:jc w:val="center"/>
    </w:pPr>
  </w:style>
  <w:style w:type="paragraph" w:customStyle="1" w:styleId="NormalLeft">
    <w:name w:val="Normal Left"/>
    <w:basedOn w:val="a1"/>
    <w:rsid w:val="000F0BC5"/>
    <w:pPr>
      <w:jc w:val="left"/>
    </w:pPr>
  </w:style>
  <w:style w:type="paragraph" w:customStyle="1" w:styleId="NormalRight">
    <w:name w:val="Normal Right"/>
    <w:basedOn w:val="a1"/>
    <w:rsid w:val="000F0BC5"/>
    <w:pPr>
      <w:jc w:val="right"/>
    </w:pPr>
  </w:style>
  <w:style w:type="paragraph" w:customStyle="1" w:styleId="QuotedText">
    <w:name w:val="Quoted Text"/>
    <w:basedOn w:val="a1"/>
    <w:rsid w:val="000F0BC5"/>
    <w:pPr>
      <w:ind w:left="1417"/>
    </w:pPr>
  </w:style>
  <w:style w:type="paragraph" w:customStyle="1" w:styleId="Point0">
    <w:name w:val="Point 0"/>
    <w:basedOn w:val="a1"/>
    <w:rsid w:val="000F0BC5"/>
    <w:pPr>
      <w:ind w:left="850" w:hanging="850"/>
    </w:pPr>
  </w:style>
  <w:style w:type="paragraph" w:customStyle="1" w:styleId="Point10">
    <w:name w:val="Point 1"/>
    <w:basedOn w:val="a1"/>
    <w:rsid w:val="000F0BC5"/>
    <w:pPr>
      <w:ind w:left="1417" w:hanging="567"/>
    </w:pPr>
  </w:style>
  <w:style w:type="paragraph" w:customStyle="1" w:styleId="Point2">
    <w:name w:val="Point 2"/>
    <w:basedOn w:val="a1"/>
    <w:rsid w:val="000F0BC5"/>
    <w:pPr>
      <w:ind w:left="1984" w:hanging="567"/>
    </w:pPr>
  </w:style>
  <w:style w:type="paragraph" w:customStyle="1" w:styleId="Point3">
    <w:name w:val="Point 3"/>
    <w:basedOn w:val="a1"/>
    <w:rsid w:val="000F0BC5"/>
    <w:pPr>
      <w:ind w:left="2551" w:hanging="567"/>
    </w:pPr>
  </w:style>
  <w:style w:type="paragraph" w:customStyle="1" w:styleId="Point4">
    <w:name w:val="Point 4"/>
    <w:basedOn w:val="a1"/>
    <w:rsid w:val="000F0BC5"/>
    <w:pPr>
      <w:ind w:left="3118" w:hanging="567"/>
    </w:pPr>
  </w:style>
  <w:style w:type="paragraph" w:customStyle="1" w:styleId="Tiret0">
    <w:name w:val="Tiret 0"/>
    <w:basedOn w:val="Point0"/>
    <w:rsid w:val="000F0BC5"/>
    <w:pPr>
      <w:numPr>
        <w:numId w:val="87"/>
      </w:numPr>
    </w:pPr>
  </w:style>
  <w:style w:type="paragraph" w:customStyle="1" w:styleId="Tiret1">
    <w:name w:val="Tiret 1"/>
    <w:basedOn w:val="Point10"/>
    <w:rsid w:val="000F0BC5"/>
    <w:pPr>
      <w:numPr>
        <w:numId w:val="88"/>
      </w:numPr>
    </w:pPr>
  </w:style>
  <w:style w:type="paragraph" w:customStyle="1" w:styleId="Tiret2">
    <w:name w:val="Tiret 2"/>
    <w:basedOn w:val="Point2"/>
    <w:rsid w:val="000F0BC5"/>
    <w:pPr>
      <w:numPr>
        <w:numId w:val="89"/>
      </w:numPr>
    </w:pPr>
  </w:style>
  <w:style w:type="paragraph" w:customStyle="1" w:styleId="Tiret3">
    <w:name w:val="Tiret 3"/>
    <w:basedOn w:val="Point3"/>
    <w:rsid w:val="000F0BC5"/>
    <w:pPr>
      <w:numPr>
        <w:numId w:val="90"/>
      </w:numPr>
    </w:pPr>
  </w:style>
  <w:style w:type="paragraph" w:customStyle="1" w:styleId="Tiret4">
    <w:name w:val="Tiret 4"/>
    <w:basedOn w:val="Point4"/>
    <w:rsid w:val="000F0BC5"/>
    <w:pPr>
      <w:numPr>
        <w:numId w:val="91"/>
      </w:numPr>
    </w:pPr>
  </w:style>
  <w:style w:type="paragraph" w:customStyle="1" w:styleId="PointDouble0">
    <w:name w:val="PointDouble 0"/>
    <w:basedOn w:val="a1"/>
    <w:rsid w:val="000F0BC5"/>
    <w:pPr>
      <w:tabs>
        <w:tab w:val="left" w:pos="850"/>
      </w:tabs>
      <w:ind w:left="1417" w:hanging="1417"/>
    </w:pPr>
  </w:style>
  <w:style w:type="paragraph" w:customStyle="1" w:styleId="PointDouble1">
    <w:name w:val="PointDouble 1"/>
    <w:basedOn w:val="a1"/>
    <w:rsid w:val="000F0BC5"/>
    <w:pPr>
      <w:tabs>
        <w:tab w:val="left" w:pos="1417"/>
      </w:tabs>
      <w:ind w:left="1984" w:hanging="1134"/>
    </w:pPr>
  </w:style>
  <w:style w:type="paragraph" w:customStyle="1" w:styleId="PointDouble2">
    <w:name w:val="PointDouble 2"/>
    <w:basedOn w:val="a1"/>
    <w:rsid w:val="000F0BC5"/>
    <w:pPr>
      <w:tabs>
        <w:tab w:val="left" w:pos="1984"/>
      </w:tabs>
      <w:ind w:left="2551" w:hanging="1134"/>
    </w:pPr>
  </w:style>
  <w:style w:type="paragraph" w:customStyle="1" w:styleId="PointDouble3">
    <w:name w:val="PointDouble 3"/>
    <w:basedOn w:val="a1"/>
    <w:rsid w:val="000F0BC5"/>
    <w:pPr>
      <w:tabs>
        <w:tab w:val="left" w:pos="2551"/>
      </w:tabs>
      <w:ind w:left="3118" w:hanging="1134"/>
    </w:pPr>
  </w:style>
  <w:style w:type="paragraph" w:customStyle="1" w:styleId="PointDouble4">
    <w:name w:val="PointDouble 4"/>
    <w:basedOn w:val="a1"/>
    <w:rsid w:val="000F0BC5"/>
    <w:pPr>
      <w:tabs>
        <w:tab w:val="left" w:pos="3118"/>
      </w:tabs>
      <w:ind w:left="3685" w:hanging="1134"/>
    </w:pPr>
  </w:style>
  <w:style w:type="paragraph" w:customStyle="1" w:styleId="PointTriple0">
    <w:name w:val="PointTriple 0"/>
    <w:basedOn w:val="a1"/>
    <w:rsid w:val="000F0BC5"/>
    <w:pPr>
      <w:tabs>
        <w:tab w:val="left" w:pos="850"/>
        <w:tab w:val="left" w:pos="1417"/>
      </w:tabs>
      <w:ind w:left="1984" w:hanging="1984"/>
    </w:pPr>
  </w:style>
  <w:style w:type="paragraph" w:customStyle="1" w:styleId="PointTriple1">
    <w:name w:val="PointTriple 1"/>
    <w:basedOn w:val="a1"/>
    <w:rsid w:val="000F0BC5"/>
    <w:pPr>
      <w:tabs>
        <w:tab w:val="left" w:pos="1417"/>
        <w:tab w:val="left" w:pos="1984"/>
      </w:tabs>
      <w:ind w:left="2551" w:hanging="1701"/>
    </w:pPr>
  </w:style>
  <w:style w:type="paragraph" w:customStyle="1" w:styleId="PointTriple2">
    <w:name w:val="PointTriple 2"/>
    <w:basedOn w:val="a1"/>
    <w:rsid w:val="000F0BC5"/>
    <w:pPr>
      <w:tabs>
        <w:tab w:val="left" w:pos="1984"/>
        <w:tab w:val="left" w:pos="2551"/>
      </w:tabs>
      <w:ind w:left="3118" w:hanging="1701"/>
    </w:pPr>
  </w:style>
  <w:style w:type="paragraph" w:customStyle="1" w:styleId="PointTriple3">
    <w:name w:val="PointTriple 3"/>
    <w:basedOn w:val="a1"/>
    <w:rsid w:val="000F0BC5"/>
    <w:pPr>
      <w:tabs>
        <w:tab w:val="left" w:pos="2551"/>
        <w:tab w:val="left" w:pos="3118"/>
      </w:tabs>
      <w:ind w:left="3685" w:hanging="1701"/>
    </w:pPr>
  </w:style>
  <w:style w:type="paragraph" w:customStyle="1" w:styleId="PointTriple4">
    <w:name w:val="PointTriple 4"/>
    <w:basedOn w:val="a1"/>
    <w:rsid w:val="000F0BC5"/>
    <w:pPr>
      <w:tabs>
        <w:tab w:val="left" w:pos="3118"/>
        <w:tab w:val="left" w:pos="3685"/>
      </w:tabs>
      <w:ind w:left="4252" w:hanging="1701"/>
    </w:pPr>
  </w:style>
  <w:style w:type="paragraph" w:customStyle="1" w:styleId="NumPar1">
    <w:name w:val="NumPar 1"/>
    <w:basedOn w:val="a1"/>
    <w:next w:val="Text1"/>
    <w:rsid w:val="000F0BC5"/>
    <w:pPr>
      <w:numPr>
        <w:numId w:val="92"/>
      </w:numPr>
    </w:pPr>
  </w:style>
  <w:style w:type="paragraph" w:customStyle="1" w:styleId="NumPar2">
    <w:name w:val="NumPar 2"/>
    <w:basedOn w:val="a1"/>
    <w:next w:val="Text1"/>
    <w:rsid w:val="000F0BC5"/>
    <w:pPr>
      <w:numPr>
        <w:ilvl w:val="1"/>
        <w:numId w:val="92"/>
      </w:numPr>
    </w:pPr>
  </w:style>
  <w:style w:type="paragraph" w:customStyle="1" w:styleId="NumPar3">
    <w:name w:val="NumPar 3"/>
    <w:basedOn w:val="a1"/>
    <w:next w:val="Text1"/>
    <w:rsid w:val="000F0BC5"/>
    <w:pPr>
      <w:numPr>
        <w:ilvl w:val="2"/>
        <w:numId w:val="92"/>
      </w:numPr>
    </w:pPr>
  </w:style>
  <w:style w:type="paragraph" w:customStyle="1" w:styleId="NumPar4">
    <w:name w:val="NumPar 4"/>
    <w:basedOn w:val="a1"/>
    <w:next w:val="Text1"/>
    <w:rsid w:val="000F0BC5"/>
    <w:pPr>
      <w:numPr>
        <w:ilvl w:val="3"/>
        <w:numId w:val="92"/>
      </w:numPr>
    </w:pPr>
  </w:style>
  <w:style w:type="paragraph" w:customStyle="1" w:styleId="ManualNumPar1">
    <w:name w:val="Manual NumPar 1"/>
    <w:basedOn w:val="a1"/>
    <w:next w:val="Text1"/>
    <w:rsid w:val="000F0BC5"/>
    <w:pPr>
      <w:ind w:left="850" w:hanging="850"/>
    </w:pPr>
  </w:style>
  <w:style w:type="paragraph" w:customStyle="1" w:styleId="ManualNumPar2">
    <w:name w:val="Manual NumPar 2"/>
    <w:basedOn w:val="a1"/>
    <w:next w:val="Text1"/>
    <w:rsid w:val="000F0BC5"/>
    <w:pPr>
      <w:ind w:left="850" w:hanging="850"/>
    </w:pPr>
  </w:style>
  <w:style w:type="paragraph" w:customStyle="1" w:styleId="ManualNumPar3">
    <w:name w:val="Manual NumPar 3"/>
    <w:basedOn w:val="a1"/>
    <w:next w:val="Text1"/>
    <w:rsid w:val="000F0BC5"/>
    <w:pPr>
      <w:ind w:left="850" w:hanging="850"/>
    </w:pPr>
  </w:style>
  <w:style w:type="paragraph" w:customStyle="1" w:styleId="ManualNumPar4">
    <w:name w:val="Manual NumPar 4"/>
    <w:basedOn w:val="a1"/>
    <w:next w:val="Text1"/>
    <w:rsid w:val="000F0BC5"/>
    <w:pPr>
      <w:ind w:left="850" w:hanging="850"/>
    </w:pPr>
  </w:style>
  <w:style w:type="paragraph" w:customStyle="1" w:styleId="QuotedNumPar">
    <w:name w:val="Quoted NumPar"/>
    <w:basedOn w:val="a1"/>
    <w:rsid w:val="000F0BC5"/>
    <w:pPr>
      <w:ind w:left="1417" w:hanging="567"/>
    </w:pPr>
  </w:style>
  <w:style w:type="paragraph" w:customStyle="1" w:styleId="ManualHeading1">
    <w:name w:val="Manual Heading 1"/>
    <w:basedOn w:val="a1"/>
    <w:next w:val="Text1"/>
    <w:rsid w:val="000F0BC5"/>
    <w:pPr>
      <w:keepNext/>
      <w:tabs>
        <w:tab w:val="left" w:pos="850"/>
      </w:tabs>
      <w:spacing w:before="360"/>
      <w:ind w:left="850" w:hanging="850"/>
      <w:outlineLvl w:val="0"/>
    </w:pPr>
    <w:rPr>
      <w:b/>
      <w:smallCaps/>
    </w:rPr>
  </w:style>
  <w:style w:type="paragraph" w:customStyle="1" w:styleId="ManualHeading2">
    <w:name w:val="Manual Heading 2"/>
    <w:basedOn w:val="a1"/>
    <w:next w:val="Text1"/>
    <w:rsid w:val="000F0BC5"/>
    <w:pPr>
      <w:keepNext/>
      <w:tabs>
        <w:tab w:val="left" w:pos="850"/>
      </w:tabs>
      <w:ind w:left="850" w:hanging="850"/>
      <w:outlineLvl w:val="1"/>
    </w:pPr>
    <w:rPr>
      <w:b/>
    </w:rPr>
  </w:style>
  <w:style w:type="paragraph" w:customStyle="1" w:styleId="ManualHeading3">
    <w:name w:val="Manual Heading 3"/>
    <w:basedOn w:val="a1"/>
    <w:next w:val="Text1"/>
    <w:rsid w:val="000F0BC5"/>
    <w:pPr>
      <w:keepNext/>
      <w:tabs>
        <w:tab w:val="left" w:pos="850"/>
      </w:tabs>
      <w:ind w:left="850" w:hanging="850"/>
      <w:outlineLvl w:val="2"/>
    </w:pPr>
    <w:rPr>
      <w:i/>
    </w:rPr>
  </w:style>
  <w:style w:type="paragraph" w:customStyle="1" w:styleId="ManualHeading4">
    <w:name w:val="Manual Heading 4"/>
    <w:basedOn w:val="a1"/>
    <w:next w:val="Text1"/>
    <w:rsid w:val="000F0BC5"/>
    <w:pPr>
      <w:keepNext/>
      <w:tabs>
        <w:tab w:val="left" w:pos="850"/>
      </w:tabs>
      <w:ind w:left="850" w:hanging="850"/>
      <w:outlineLvl w:val="3"/>
    </w:pPr>
  </w:style>
  <w:style w:type="paragraph" w:customStyle="1" w:styleId="ChapterTitle">
    <w:name w:val="ChapterTitle"/>
    <w:basedOn w:val="a1"/>
    <w:next w:val="a1"/>
    <w:rsid w:val="000F0BC5"/>
    <w:pPr>
      <w:keepNext/>
      <w:spacing w:after="360"/>
      <w:jc w:val="center"/>
    </w:pPr>
    <w:rPr>
      <w:b/>
      <w:sz w:val="32"/>
    </w:rPr>
  </w:style>
  <w:style w:type="paragraph" w:customStyle="1" w:styleId="PartTitle">
    <w:name w:val="PartTitle"/>
    <w:basedOn w:val="a1"/>
    <w:next w:val="ChapterTitle"/>
    <w:rsid w:val="000F0BC5"/>
    <w:pPr>
      <w:keepNext/>
      <w:pageBreakBefore/>
      <w:spacing w:after="360"/>
      <w:jc w:val="center"/>
    </w:pPr>
    <w:rPr>
      <w:b/>
      <w:sz w:val="36"/>
    </w:rPr>
  </w:style>
  <w:style w:type="paragraph" w:customStyle="1" w:styleId="SectionTitle">
    <w:name w:val="SectionTitle"/>
    <w:basedOn w:val="a1"/>
    <w:next w:val="1"/>
    <w:rsid w:val="000F0BC5"/>
    <w:pPr>
      <w:keepNext/>
      <w:spacing w:after="360"/>
      <w:jc w:val="center"/>
    </w:pPr>
    <w:rPr>
      <w:b/>
      <w:smallCaps/>
      <w:sz w:val="28"/>
    </w:rPr>
  </w:style>
  <w:style w:type="paragraph" w:customStyle="1" w:styleId="TableTitle">
    <w:name w:val="Table Title"/>
    <w:basedOn w:val="a1"/>
    <w:next w:val="a1"/>
    <w:rsid w:val="000F0BC5"/>
    <w:pPr>
      <w:jc w:val="center"/>
    </w:pPr>
    <w:rPr>
      <w:b/>
    </w:rPr>
  </w:style>
  <w:style w:type="character" w:customStyle="1" w:styleId="Marker">
    <w:name w:val="Marker"/>
    <w:basedOn w:val="a2"/>
    <w:rsid w:val="000F0BC5"/>
    <w:rPr>
      <w:color w:val="0000FF"/>
      <w:shd w:val="clear" w:color="auto" w:fill="auto"/>
    </w:rPr>
  </w:style>
  <w:style w:type="character" w:customStyle="1" w:styleId="Marker1">
    <w:name w:val="Marker1"/>
    <w:basedOn w:val="a2"/>
    <w:rsid w:val="000F0BC5"/>
    <w:rPr>
      <w:color w:val="008000"/>
      <w:shd w:val="clear" w:color="auto" w:fill="auto"/>
    </w:rPr>
  </w:style>
  <w:style w:type="character" w:customStyle="1" w:styleId="Marker2">
    <w:name w:val="Marker2"/>
    <w:basedOn w:val="a2"/>
    <w:rsid w:val="000F0BC5"/>
    <w:rPr>
      <w:color w:val="FF0000"/>
      <w:shd w:val="clear" w:color="auto" w:fill="auto"/>
    </w:rPr>
  </w:style>
  <w:style w:type="paragraph" w:customStyle="1" w:styleId="Point0number">
    <w:name w:val="Point 0 (number)"/>
    <w:basedOn w:val="a1"/>
    <w:rsid w:val="000F0BC5"/>
    <w:pPr>
      <w:numPr>
        <w:numId w:val="94"/>
      </w:numPr>
    </w:pPr>
  </w:style>
  <w:style w:type="paragraph" w:customStyle="1" w:styleId="Point1number">
    <w:name w:val="Point 1 (number)"/>
    <w:basedOn w:val="a1"/>
    <w:rsid w:val="000F0BC5"/>
    <w:pPr>
      <w:numPr>
        <w:ilvl w:val="2"/>
        <w:numId w:val="94"/>
      </w:numPr>
    </w:pPr>
  </w:style>
  <w:style w:type="paragraph" w:customStyle="1" w:styleId="Point2number">
    <w:name w:val="Point 2 (number)"/>
    <w:basedOn w:val="a1"/>
    <w:rsid w:val="000F0BC5"/>
    <w:pPr>
      <w:numPr>
        <w:ilvl w:val="4"/>
        <w:numId w:val="94"/>
      </w:numPr>
    </w:pPr>
  </w:style>
  <w:style w:type="paragraph" w:customStyle="1" w:styleId="Point3number">
    <w:name w:val="Point 3 (number)"/>
    <w:basedOn w:val="a1"/>
    <w:rsid w:val="000F0BC5"/>
    <w:pPr>
      <w:numPr>
        <w:ilvl w:val="6"/>
        <w:numId w:val="94"/>
      </w:numPr>
    </w:pPr>
  </w:style>
  <w:style w:type="paragraph" w:customStyle="1" w:styleId="Point0letter">
    <w:name w:val="Point 0 (letter)"/>
    <w:basedOn w:val="a1"/>
    <w:rsid w:val="000F0BC5"/>
    <w:pPr>
      <w:numPr>
        <w:ilvl w:val="1"/>
        <w:numId w:val="94"/>
      </w:numPr>
    </w:pPr>
  </w:style>
  <w:style w:type="paragraph" w:customStyle="1" w:styleId="Point1letter">
    <w:name w:val="Point 1 (letter)"/>
    <w:basedOn w:val="a1"/>
    <w:rsid w:val="000F0BC5"/>
    <w:pPr>
      <w:numPr>
        <w:ilvl w:val="3"/>
        <w:numId w:val="94"/>
      </w:numPr>
    </w:pPr>
  </w:style>
  <w:style w:type="paragraph" w:customStyle="1" w:styleId="Point2letter">
    <w:name w:val="Point 2 (letter)"/>
    <w:basedOn w:val="a1"/>
    <w:rsid w:val="000F0BC5"/>
    <w:pPr>
      <w:numPr>
        <w:ilvl w:val="5"/>
        <w:numId w:val="94"/>
      </w:numPr>
    </w:pPr>
  </w:style>
  <w:style w:type="paragraph" w:customStyle="1" w:styleId="Point3letter">
    <w:name w:val="Point 3 (letter)"/>
    <w:basedOn w:val="a1"/>
    <w:rsid w:val="000F0BC5"/>
    <w:pPr>
      <w:numPr>
        <w:ilvl w:val="7"/>
        <w:numId w:val="94"/>
      </w:numPr>
    </w:pPr>
  </w:style>
  <w:style w:type="paragraph" w:customStyle="1" w:styleId="Point4letter">
    <w:name w:val="Point 4 (letter)"/>
    <w:basedOn w:val="a1"/>
    <w:rsid w:val="000F0BC5"/>
    <w:pPr>
      <w:numPr>
        <w:ilvl w:val="8"/>
        <w:numId w:val="94"/>
      </w:numPr>
    </w:pPr>
  </w:style>
  <w:style w:type="paragraph" w:customStyle="1" w:styleId="Bullet0">
    <w:name w:val="Bullet 0"/>
    <w:basedOn w:val="a1"/>
    <w:rsid w:val="000F0BC5"/>
    <w:pPr>
      <w:numPr>
        <w:numId w:val="95"/>
      </w:numPr>
    </w:pPr>
  </w:style>
  <w:style w:type="paragraph" w:customStyle="1" w:styleId="Bullet1">
    <w:name w:val="Bullet 1"/>
    <w:basedOn w:val="a1"/>
    <w:rsid w:val="000F0BC5"/>
    <w:pPr>
      <w:numPr>
        <w:numId w:val="96"/>
      </w:numPr>
    </w:pPr>
  </w:style>
  <w:style w:type="paragraph" w:customStyle="1" w:styleId="Bullet2">
    <w:name w:val="Bullet 2"/>
    <w:basedOn w:val="a1"/>
    <w:rsid w:val="000F0BC5"/>
    <w:pPr>
      <w:numPr>
        <w:numId w:val="97"/>
      </w:numPr>
    </w:pPr>
  </w:style>
  <w:style w:type="paragraph" w:customStyle="1" w:styleId="Bullet3">
    <w:name w:val="Bullet 3"/>
    <w:basedOn w:val="a1"/>
    <w:rsid w:val="000F0BC5"/>
    <w:pPr>
      <w:numPr>
        <w:numId w:val="98"/>
      </w:numPr>
    </w:pPr>
  </w:style>
  <w:style w:type="paragraph" w:customStyle="1" w:styleId="Bullet4">
    <w:name w:val="Bullet 4"/>
    <w:basedOn w:val="a1"/>
    <w:rsid w:val="000F0BC5"/>
    <w:pPr>
      <w:numPr>
        <w:numId w:val="99"/>
      </w:numPr>
    </w:pPr>
  </w:style>
  <w:style w:type="paragraph" w:customStyle="1" w:styleId="Langue">
    <w:name w:val="Langue"/>
    <w:basedOn w:val="a1"/>
    <w:next w:val="Rfrenceinterne"/>
    <w:rsid w:val="000F0BC5"/>
    <w:pPr>
      <w:framePr w:wrap="around" w:vAnchor="page" w:hAnchor="text" w:xAlign="center" w:y="14741"/>
      <w:spacing w:before="0" w:after="600"/>
      <w:jc w:val="center"/>
    </w:pPr>
    <w:rPr>
      <w:b/>
      <w:caps/>
    </w:rPr>
  </w:style>
  <w:style w:type="paragraph" w:customStyle="1" w:styleId="Nomdelinstitution">
    <w:name w:val="Nom de l'institution"/>
    <w:basedOn w:val="a1"/>
    <w:next w:val="Emission"/>
    <w:rsid w:val="000F0BC5"/>
    <w:pPr>
      <w:spacing w:before="0" w:after="0"/>
      <w:jc w:val="left"/>
    </w:pPr>
    <w:rPr>
      <w:rFonts w:ascii="Arial" w:hAnsi="Arial" w:cs="Arial"/>
    </w:rPr>
  </w:style>
  <w:style w:type="paragraph" w:customStyle="1" w:styleId="Emission">
    <w:name w:val="Emission"/>
    <w:basedOn w:val="a1"/>
    <w:next w:val="Rfrenceinstitutionnelle"/>
    <w:rsid w:val="000F0BC5"/>
    <w:pPr>
      <w:spacing w:before="0" w:after="0"/>
      <w:ind w:left="5103"/>
      <w:jc w:val="left"/>
    </w:pPr>
  </w:style>
  <w:style w:type="paragraph" w:customStyle="1" w:styleId="Rfrenceinstitutionnelle">
    <w:name w:val="Référence institutionnelle"/>
    <w:basedOn w:val="a1"/>
    <w:next w:val="Confidentialit"/>
    <w:rsid w:val="000F0BC5"/>
    <w:pPr>
      <w:spacing w:before="0" w:after="240"/>
      <w:ind w:left="5103"/>
      <w:jc w:val="left"/>
    </w:pPr>
  </w:style>
  <w:style w:type="paragraph" w:customStyle="1" w:styleId="Pagedecouverture">
    <w:name w:val="Page de couverture"/>
    <w:basedOn w:val="a1"/>
    <w:next w:val="a1"/>
    <w:rsid w:val="000F0BC5"/>
    <w:pPr>
      <w:spacing w:before="0" w:after="0"/>
    </w:pPr>
  </w:style>
  <w:style w:type="paragraph" w:customStyle="1" w:styleId="Declassification">
    <w:name w:val="Declassification"/>
    <w:basedOn w:val="a1"/>
    <w:next w:val="a1"/>
    <w:rsid w:val="000F0BC5"/>
    <w:pPr>
      <w:spacing w:before="0" w:after="0"/>
    </w:pPr>
  </w:style>
  <w:style w:type="paragraph" w:customStyle="1" w:styleId="Disclaimer">
    <w:name w:val="Disclaimer"/>
    <w:basedOn w:val="a1"/>
    <w:rsid w:val="000F0BC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a1"/>
    <w:next w:val="a1"/>
    <w:rsid w:val="000F0BC5"/>
    <w:pPr>
      <w:jc w:val="center"/>
    </w:pPr>
    <w:rPr>
      <w:b/>
      <w:u w:val="single"/>
    </w:rPr>
  </w:style>
  <w:style w:type="paragraph" w:customStyle="1" w:styleId="Annexetitre">
    <w:name w:val="Annexe titre"/>
    <w:basedOn w:val="a1"/>
    <w:next w:val="a1"/>
    <w:rsid w:val="000F0BC5"/>
    <w:pPr>
      <w:jc w:val="center"/>
    </w:pPr>
    <w:rPr>
      <w:b/>
      <w:u w:val="single"/>
    </w:rPr>
  </w:style>
  <w:style w:type="paragraph" w:customStyle="1" w:styleId="Annexetitrefichefinancire">
    <w:name w:val="Annexe titre (fiche financière)"/>
    <w:basedOn w:val="a1"/>
    <w:next w:val="a1"/>
    <w:rsid w:val="000F0BC5"/>
    <w:pPr>
      <w:jc w:val="center"/>
    </w:pPr>
    <w:rPr>
      <w:b/>
      <w:u w:val="single"/>
    </w:rPr>
  </w:style>
  <w:style w:type="paragraph" w:customStyle="1" w:styleId="Applicationdirecte">
    <w:name w:val="Application directe"/>
    <w:basedOn w:val="a1"/>
    <w:next w:val="Fait"/>
    <w:rsid w:val="000F0BC5"/>
    <w:pPr>
      <w:spacing w:before="480"/>
    </w:pPr>
  </w:style>
  <w:style w:type="paragraph" w:customStyle="1" w:styleId="Avertissementtitre">
    <w:name w:val="Avertissement titre"/>
    <w:basedOn w:val="a1"/>
    <w:next w:val="a1"/>
    <w:rsid w:val="000F0BC5"/>
    <w:pPr>
      <w:keepNext/>
      <w:spacing w:before="480"/>
    </w:pPr>
    <w:rPr>
      <w:u w:val="single"/>
    </w:rPr>
  </w:style>
  <w:style w:type="paragraph" w:customStyle="1" w:styleId="Confidence">
    <w:name w:val="Confidence"/>
    <w:basedOn w:val="a1"/>
    <w:next w:val="a1"/>
    <w:rsid w:val="000F0BC5"/>
    <w:pPr>
      <w:spacing w:before="360"/>
      <w:jc w:val="center"/>
    </w:pPr>
  </w:style>
  <w:style w:type="paragraph" w:customStyle="1" w:styleId="Confidentialit">
    <w:name w:val="Confidentialité"/>
    <w:basedOn w:val="a1"/>
    <w:next w:val="TypedudocumentPagedecouverture"/>
    <w:rsid w:val="000F0BC5"/>
    <w:pPr>
      <w:spacing w:before="240" w:after="240"/>
      <w:ind w:left="5103"/>
      <w:jc w:val="left"/>
    </w:pPr>
    <w:rPr>
      <w:i/>
      <w:sz w:val="32"/>
    </w:rPr>
  </w:style>
  <w:style w:type="paragraph" w:customStyle="1" w:styleId="Considrant">
    <w:name w:val="Considérant"/>
    <w:basedOn w:val="a1"/>
    <w:rsid w:val="000F0BC5"/>
    <w:pPr>
      <w:numPr>
        <w:numId w:val="100"/>
      </w:numPr>
    </w:pPr>
  </w:style>
  <w:style w:type="paragraph" w:customStyle="1" w:styleId="Corrigendum">
    <w:name w:val="Corrigendum"/>
    <w:basedOn w:val="a1"/>
    <w:next w:val="a1"/>
    <w:rsid w:val="000F0BC5"/>
    <w:pPr>
      <w:spacing w:before="0" w:after="240"/>
      <w:jc w:val="left"/>
    </w:pPr>
  </w:style>
  <w:style w:type="paragraph" w:customStyle="1" w:styleId="Datedadoption">
    <w:name w:val="Date d'adoption"/>
    <w:basedOn w:val="a1"/>
    <w:next w:val="Titreobjet"/>
    <w:rsid w:val="000F0BC5"/>
    <w:pPr>
      <w:spacing w:before="360" w:after="0"/>
      <w:jc w:val="center"/>
    </w:pPr>
    <w:rPr>
      <w:b/>
    </w:rPr>
  </w:style>
  <w:style w:type="paragraph" w:customStyle="1" w:styleId="Exposdesmotifstitre">
    <w:name w:val="Exposé des motifs titre"/>
    <w:basedOn w:val="a1"/>
    <w:next w:val="a1"/>
    <w:rsid w:val="000F0BC5"/>
    <w:pPr>
      <w:jc w:val="center"/>
    </w:pPr>
    <w:rPr>
      <w:b/>
      <w:u w:val="single"/>
    </w:rPr>
  </w:style>
  <w:style w:type="paragraph" w:customStyle="1" w:styleId="Fait">
    <w:name w:val="Fait à"/>
    <w:basedOn w:val="a1"/>
    <w:next w:val="Institutionquisigne"/>
    <w:rsid w:val="000F0BC5"/>
    <w:pPr>
      <w:keepNext/>
      <w:spacing w:after="0"/>
    </w:pPr>
  </w:style>
  <w:style w:type="paragraph" w:customStyle="1" w:styleId="Formuledadoption">
    <w:name w:val="Formule d'adoption"/>
    <w:basedOn w:val="a1"/>
    <w:next w:val="Titrearticle"/>
    <w:rsid w:val="000F0BC5"/>
    <w:pPr>
      <w:keepNext/>
    </w:pPr>
  </w:style>
  <w:style w:type="paragraph" w:customStyle="1" w:styleId="Institutionquiagit">
    <w:name w:val="Institution qui agit"/>
    <w:basedOn w:val="a1"/>
    <w:next w:val="a1"/>
    <w:rsid w:val="000F0BC5"/>
    <w:pPr>
      <w:keepNext/>
      <w:spacing w:before="600"/>
    </w:pPr>
  </w:style>
  <w:style w:type="paragraph" w:customStyle="1" w:styleId="Institutionquisigne">
    <w:name w:val="Institution qui signe"/>
    <w:basedOn w:val="a1"/>
    <w:next w:val="Personnequisigne"/>
    <w:rsid w:val="000F0BC5"/>
    <w:pPr>
      <w:keepNext/>
      <w:tabs>
        <w:tab w:val="left" w:pos="4252"/>
      </w:tabs>
      <w:spacing w:before="720" w:after="0"/>
    </w:pPr>
    <w:rPr>
      <w:i/>
    </w:rPr>
  </w:style>
  <w:style w:type="paragraph" w:customStyle="1" w:styleId="ManualConsidrant">
    <w:name w:val="Manual Considérant"/>
    <w:basedOn w:val="a1"/>
    <w:rsid w:val="000F0BC5"/>
    <w:pPr>
      <w:ind w:left="709" w:hanging="709"/>
    </w:pPr>
  </w:style>
  <w:style w:type="paragraph" w:customStyle="1" w:styleId="Personnequisigne">
    <w:name w:val="Personne qui signe"/>
    <w:basedOn w:val="a1"/>
    <w:next w:val="Institutionquisigne"/>
    <w:rsid w:val="000F0BC5"/>
    <w:pPr>
      <w:tabs>
        <w:tab w:val="left" w:pos="4252"/>
      </w:tabs>
      <w:spacing w:before="0" w:after="0"/>
      <w:jc w:val="left"/>
    </w:pPr>
    <w:rPr>
      <w:i/>
    </w:rPr>
  </w:style>
  <w:style w:type="paragraph" w:customStyle="1" w:styleId="Rfrenceinterinstitutionnelle">
    <w:name w:val="Référence interinstitutionnelle"/>
    <w:basedOn w:val="a1"/>
    <w:next w:val="Statut"/>
    <w:rsid w:val="000F0BC5"/>
    <w:pPr>
      <w:spacing w:before="0" w:after="0"/>
      <w:ind w:left="5103"/>
      <w:jc w:val="left"/>
    </w:pPr>
  </w:style>
  <w:style w:type="paragraph" w:customStyle="1" w:styleId="Rfrenceinterne">
    <w:name w:val="Référence interne"/>
    <w:basedOn w:val="a1"/>
    <w:next w:val="Rfrenceinterinstitutionnelle"/>
    <w:rsid w:val="000F0BC5"/>
    <w:pPr>
      <w:spacing w:before="0" w:after="0"/>
      <w:ind w:left="5103"/>
      <w:jc w:val="left"/>
    </w:pPr>
  </w:style>
  <w:style w:type="paragraph" w:customStyle="1" w:styleId="Statut">
    <w:name w:val="Statut"/>
    <w:basedOn w:val="a1"/>
    <w:next w:val="Typedudocument"/>
    <w:rsid w:val="000F0BC5"/>
    <w:pPr>
      <w:spacing w:before="360" w:after="0"/>
      <w:jc w:val="center"/>
    </w:pPr>
  </w:style>
  <w:style w:type="paragraph" w:customStyle="1" w:styleId="Titrearticle">
    <w:name w:val="Titre article"/>
    <w:basedOn w:val="a1"/>
    <w:next w:val="a1"/>
    <w:rsid w:val="000F0BC5"/>
    <w:pPr>
      <w:keepNext/>
      <w:spacing w:before="360"/>
      <w:jc w:val="center"/>
    </w:pPr>
    <w:rPr>
      <w:i/>
    </w:rPr>
  </w:style>
  <w:style w:type="paragraph" w:customStyle="1" w:styleId="Titreobjet">
    <w:name w:val="Titre objet"/>
    <w:basedOn w:val="a1"/>
    <w:next w:val="IntrtEEE"/>
    <w:rsid w:val="000F0BC5"/>
    <w:pPr>
      <w:spacing w:before="360" w:after="360"/>
      <w:jc w:val="center"/>
    </w:pPr>
    <w:rPr>
      <w:b/>
    </w:rPr>
  </w:style>
  <w:style w:type="paragraph" w:customStyle="1" w:styleId="Typedudocument">
    <w:name w:val="Type du document"/>
    <w:basedOn w:val="a1"/>
    <w:next w:val="Titreobjet"/>
    <w:rsid w:val="000F0BC5"/>
    <w:pPr>
      <w:spacing w:before="360" w:after="0"/>
      <w:jc w:val="center"/>
    </w:pPr>
    <w:rPr>
      <w:b/>
    </w:rPr>
  </w:style>
  <w:style w:type="character" w:customStyle="1" w:styleId="Added">
    <w:name w:val="Added"/>
    <w:basedOn w:val="a2"/>
    <w:rsid w:val="000F0BC5"/>
    <w:rPr>
      <w:b/>
      <w:u w:val="single"/>
      <w:shd w:val="clear" w:color="auto" w:fill="auto"/>
    </w:rPr>
  </w:style>
  <w:style w:type="character" w:customStyle="1" w:styleId="Deleted">
    <w:name w:val="Deleted"/>
    <w:basedOn w:val="a2"/>
    <w:rsid w:val="000F0BC5"/>
    <w:rPr>
      <w:strike/>
      <w:dstrike w:val="0"/>
      <w:shd w:val="clear" w:color="auto" w:fill="auto"/>
    </w:rPr>
  </w:style>
  <w:style w:type="paragraph" w:customStyle="1" w:styleId="Address">
    <w:name w:val="Address"/>
    <w:basedOn w:val="a1"/>
    <w:next w:val="a1"/>
    <w:rsid w:val="000F0BC5"/>
    <w:pPr>
      <w:keepLines/>
      <w:spacing w:line="360" w:lineRule="auto"/>
      <w:ind w:left="3402"/>
      <w:jc w:val="left"/>
    </w:pPr>
  </w:style>
  <w:style w:type="paragraph" w:customStyle="1" w:styleId="Objetexterne">
    <w:name w:val="Objet externe"/>
    <w:basedOn w:val="a1"/>
    <w:next w:val="a1"/>
    <w:rsid w:val="000F0BC5"/>
    <w:rPr>
      <w:i/>
      <w:caps/>
    </w:rPr>
  </w:style>
  <w:style w:type="paragraph" w:customStyle="1" w:styleId="Supertitre">
    <w:name w:val="Supertitre"/>
    <w:basedOn w:val="a1"/>
    <w:next w:val="a1"/>
    <w:rsid w:val="000F0BC5"/>
    <w:pPr>
      <w:spacing w:before="0" w:after="600"/>
      <w:jc w:val="center"/>
    </w:pPr>
    <w:rPr>
      <w:b/>
    </w:rPr>
  </w:style>
  <w:style w:type="paragraph" w:customStyle="1" w:styleId="Languesfaisantfoi">
    <w:name w:val="Langues faisant foi"/>
    <w:basedOn w:val="a1"/>
    <w:next w:val="a1"/>
    <w:rsid w:val="000F0BC5"/>
    <w:pPr>
      <w:spacing w:before="360" w:after="0"/>
      <w:jc w:val="center"/>
    </w:pPr>
  </w:style>
  <w:style w:type="paragraph" w:customStyle="1" w:styleId="Rfrencecroise">
    <w:name w:val="Référence croisée"/>
    <w:basedOn w:val="a1"/>
    <w:rsid w:val="000F0BC5"/>
    <w:pPr>
      <w:spacing w:before="0" w:after="0"/>
      <w:jc w:val="center"/>
    </w:pPr>
  </w:style>
  <w:style w:type="paragraph" w:customStyle="1" w:styleId="Fichefinanciretitre">
    <w:name w:val="Fiche financière titre"/>
    <w:basedOn w:val="a1"/>
    <w:next w:val="a1"/>
    <w:rsid w:val="000F0BC5"/>
    <w:pPr>
      <w:jc w:val="center"/>
    </w:pPr>
    <w:rPr>
      <w:b/>
      <w:u w:val="single"/>
    </w:rPr>
  </w:style>
  <w:style w:type="paragraph" w:customStyle="1" w:styleId="DatedadoptionPagedecouverture">
    <w:name w:val="Date d'adoption (Page de couverture)"/>
    <w:basedOn w:val="Datedadoption"/>
    <w:next w:val="TitreobjetPagedecouverture"/>
    <w:rsid w:val="000F0BC5"/>
  </w:style>
  <w:style w:type="paragraph" w:customStyle="1" w:styleId="RfrenceinterinstitutionnellePagedecouverture">
    <w:name w:val="Référence interinstitutionnelle (Page de couverture)"/>
    <w:basedOn w:val="Rfrenceinterinstitutionnelle"/>
    <w:next w:val="Confidentialit"/>
    <w:rsid w:val="000F0BC5"/>
  </w:style>
  <w:style w:type="paragraph" w:customStyle="1" w:styleId="StatutPagedecouverture">
    <w:name w:val="Statut (Page de couverture)"/>
    <w:basedOn w:val="Statut"/>
    <w:next w:val="TypedudocumentPagedecouverture"/>
    <w:rsid w:val="000F0BC5"/>
  </w:style>
  <w:style w:type="paragraph" w:customStyle="1" w:styleId="TitreobjetPagedecouverture">
    <w:name w:val="Titre objet (Page de couverture)"/>
    <w:basedOn w:val="Titreobjet"/>
    <w:next w:val="IntrtEEEPagedecouverture"/>
    <w:rsid w:val="000F0BC5"/>
  </w:style>
  <w:style w:type="paragraph" w:customStyle="1" w:styleId="TypedudocumentPagedecouverture">
    <w:name w:val="Type du document (Page de couverture)"/>
    <w:basedOn w:val="Typedudocument"/>
    <w:next w:val="TitreobjetPagedecouverture"/>
    <w:rsid w:val="000F0BC5"/>
  </w:style>
  <w:style w:type="paragraph" w:customStyle="1" w:styleId="Volume">
    <w:name w:val="Volume"/>
    <w:basedOn w:val="a1"/>
    <w:next w:val="Confidentialit"/>
    <w:rsid w:val="000F0BC5"/>
    <w:pPr>
      <w:spacing w:before="0" w:after="240"/>
      <w:ind w:left="5103"/>
      <w:jc w:val="left"/>
    </w:pPr>
  </w:style>
  <w:style w:type="paragraph" w:customStyle="1" w:styleId="IntrtEEE">
    <w:name w:val="Intérêt EEE"/>
    <w:basedOn w:val="Languesfaisantfoi"/>
    <w:next w:val="a1"/>
    <w:rsid w:val="000F0BC5"/>
    <w:pPr>
      <w:spacing w:after="240"/>
    </w:pPr>
  </w:style>
  <w:style w:type="paragraph" w:customStyle="1" w:styleId="Accompagnant">
    <w:name w:val="Accompagnant"/>
    <w:basedOn w:val="a1"/>
    <w:next w:val="Typeacteprincipal"/>
    <w:rsid w:val="000F0BC5"/>
    <w:pPr>
      <w:spacing w:before="0" w:after="240"/>
      <w:jc w:val="center"/>
    </w:pPr>
    <w:rPr>
      <w:b/>
      <w:i/>
    </w:rPr>
  </w:style>
  <w:style w:type="paragraph" w:customStyle="1" w:styleId="Typeacteprincipal">
    <w:name w:val="Type acte principal"/>
    <w:basedOn w:val="a1"/>
    <w:next w:val="Objetacteprincipal"/>
    <w:rsid w:val="000F0BC5"/>
    <w:pPr>
      <w:spacing w:before="0" w:after="240"/>
      <w:jc w:val="center"/>
    </w:pPr>
    <w:rPr>
      <w:b/>
    </w:rPr>
  </w:style>
  <w:style w:type="paragraph" w:customStyle="1" w:styleId="Objetacteprincipal">
    <w:name w:val="Objet acte principal"/>
    <w:basedOn w:val="a1"/>
    <w:next w:val="Titrearticle"/>
    <w:rsid w:val="000F0BC5"/>
    <w:pPr>
      <w:spacing w:before="0" w:after="360"/>
      <w:jc w:val="center"/>
    </w:pPr>
    <w:rPr>
      <w:b/>
    </w:rPr>
  </w:style>
  <w:style w:type="paragraph" w:customStyle="1" w:styleId="IntrtEEEPagedecouverture">
    <w:name w:val="Intérêt EEE (Page de couverture)"/>
    <w:basedOn w:val="IntrtEEE"/>
    <w:next w:val="Rfrencecroise"/>
    <w:rsid w:val="000F0BC5"/>
  </w:style>
  <w:style w:type="paragraph" w:customStyle="1" w:styleId="AccompagnantPagedecouverture">
    <w:name w:val="Accompagnant (Page de couverture)"/>
    <w:basedOn w:val="Accompagnant"/>
    <w:next w:val="TypeacteprincipalPagedecouverture"/>
    <w:rsid w:val="000F0BC5"/>
  </w:style>
  <w:style w:type="paragraph" w:customStyle="1" w:styleId="TypeacteprincipalPagedecouverture">
    <w:name w:val="Type acte principal (Page de couverture)"/>
    <w:basedOn w:val="Typeacteprincipal"/>
    <w:next w:val="ObjetacteprincipalPagedecouverture"/>
    <w:rsid w:val="000F0BC5"/>
  </w:style>
  <w:style w:type="paragraph" w:customStyle="1" w:styleId="ObjetacteprincipalPagedecouverture">
    <w:name w:val="Objet acte principal (Page de couverture)"/>
    <w:basedOn w:val="Objetacteprincipal"/>
    <w:next w:val="Rfrencecroise"/>
    <w:rsid w:val="000F0BC5"/>
  </w:style>
  <w:style w:type="paragraph" w:customStyle="1" w:styleId="LanguesfaisantfoiPagedecouverture">
    <w:name w:val="Langues faisant foi (Page de couverture)"/>
    <w:basedOn w:val="a1"/>
    <w:next w:val="a1"/>
    <w:rsid w:val="000F0BC5"/>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9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9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9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9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5"/>
      </w:numPr>
    </w:pPr>
    <w:rPr>
      <w:rFonts w:eastAsia="Times New Roman"/>
    </w:rPr>
  </w:style>
  <w:style w:type="paragraph" w:customStyle="1" w:styleId="ListBullet1">
    <w:name w:val="List Bullet 1"/>
    <w:basedOn w:val="Normal"/>
    <w:pPr>
      <w:numPr>
        <w:numId w:val="2"/>
      </w:numPr>
    </w:pPr>
    <w:rPr>
      <w:rFonts w:eastAsia="Times New Roman"/>
    </w:rPr>
  </w:style>
  <w:style w:type="paragraph" w:customStyle="1" w:styleId="ListDash1">
    <w:name w:val="List Dash 1"/>
    <w:basedOn w:val="Normal"/>
    <w:pPr>
      <w:numPr>
        <w:numId w:val="3"/>
      </w:numPr>
    </w:pPr>
    <w:rPr>
      <w:rFonts w:eastAsia="Times New Roman"/>
    </w:rPr>
  </w:style>
  <w:style w:type="paragraph" w:customStyle="1" w:styleId="ListDash2">
    <w:name w:val="List Dash 2"/>
    <w:basedOn w:val="Normal"/>
    <w:pPr>
      <w:numPr>
        <w:numId w:val="4"/>
      </w:numPr>
    </w:pPr>
    <w:rPr>
      <w:rFonts w:eastAsia="Times New Roman"/>
    </w:rPr>
  </w:style>
  <w:style w:type="paragraph" w:customStyle="1" w:styleId="ListNumberLevel2">
    <w:name w:val="List Number (Level 2)"/>
    <w:basedOn w:val="Normal"/>
    <w:pPr>
      <w:numPr>
        <w:ilvl w:val="1"/>
        <w:numId w:val="5"/>
      </w:numPr>
    </w:pPr>
    <w:rPr>
      <w:rFonts w:eastAsia="Times New Roman"/>
    </w:rPr>
  </w:style>
  <w:style w:type="paragraph" w:customStyle="1" w:styleId="ListNumberLevel3">
    <w:name w:val="List Number (Level 3)"/>
    <w:basedOn w:val="Normal"/>
    <w:pPr>
      <w:numPr>
        <w:ilvl w:val="2"/>
        <w:numId w:val="5"/>
      </w:numPr>
    </w:pPr>
    <w:rPr>
      <w:rFonts w:eastAsia="Times New Roman"/>
    </w:rPr>
  </w:style>
  <w:style w:type="paragraph" w:customStyle="1" w:styleId="ListNumberLevel4">
    <w:name w:val="List Number (Level 4)"/>
    <w:basedOn w:val="Normal"/>
    <w:pPr>
      <w:numPr>
        <w:ilvl w:val="3"/>
        <w:numId w:val="5"/>
      </w:numPr>
    </w:pPr>
    <w:rPr>
      <w:rFonts w:eastAsia="Times New Roman"/>
    </w:rPr>
  </w:style>
  <w:style w:type="character" w:styleId="Hyperlink">
    <w:name w:val="Hyperlink"/>
    <w:rPr>
      <w:color w:val="0000FF"/>
      <w:u w:val="single"/>
    </w:rPr>
  </w:style>
  <w:style w:type="paragraph" w:styleId="ListBullet">
    <w:name w:val="List Bullet"/>
    <w:basedOn w:val="Normal"/>
    <w:pPr>
      <w:numPr>
        <w:numId w:val="6"/>
      </w:numPr>
    </w:pPr>
    <w:rPr>
      <w:rFonts w:eastAsia="Times New Roman"/>
    </w:rPr>
  </w:style>
  <w:style w:type="paragraph" w:customStyle="1" w:styleId="Considerant">
    <w:name w:val="Considerant"/>
    <w:basedOn w:val="Considrant"/>
  </w:style>
  <w:style w:type="paragraph" w:styleId="ListParagraph">
    <w:name w:val="List Paragraph"/>
    <w:basedOn w:val="Normal"/>
    <w:uiPriority w:val="34"/>
    <w:qFormat/>
    <w:pPr>
      <w:ind w:left="720"/>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2">
    <w:name w:val="List Bullet 2"/>
    <w:basedOn w:val="Normal"/>
    <w:unhideWhenUsed/>
    <w:pPr>
      <w:numPr>
        <w:numId w:val="7"/>
      </w:numPr>
      <w:contextualSpacing/>
    </w:pPr>
  </w:style>
  <w:style w:type="paragraph" w:styleId="ListBullet3">
    <w:name w:val="List Bullet 3"/>
    <w:basedOn w:val="Normal"/>
    <w:unhideWhenUsed/>
    <w:pPr>
      <w:numPr>
        <w:numId w:val="8"/>
      </w:numPr>
      <w:contextualSpacing/>
    </w:pPr>
  </w:style>
  <w:style w:type="paragraph" w:styleId="ListBullet4">
    <w:name w:val="List Bullet 4"/>
    <w:basedOn w:val="Normal"/>
    <w:unhideWhenUsed/>
    <w:pPr>
      <w:numPr>
        <w:numId w:val="9"/>
      </w:numPr>
      <w:contextualSpacing/>
    </w:pPr>
  </w:style>
  <w:style w:type="paragraph" w:styleId="ListNumber2">
    <w:name w:val="List Number 2"/>
    <w:basedOn w:val="Normal"/>
    <w:unhideWhenUsed/>
    <w:pPr>
      <w:numPr>
        <w:numId w:val="10"/>
      </w:numPr>
      <w:contextualSpacing/>
    </w:pPr>
  </w:style>
  <w:style w:type="paragraph" w:styleId="ListNumber3">
    <w:name w:val="List Number 3"/>
    <w:basedOn w:val="Normal"/>
    <w:unhideWhenUsed/>
    <w:pPr>
      <w:numPr>
        <w:numId w:val="11"/>
      </w:numPr>
      <w:contextualSpacing/>
    </w:pPr>
  </w:style>
  <w:style w:type="paragraph" w:styleId="ListNumber4">
    <w:name w:val="List Number 4"/>
    <w:basedOn w:val="Normal"/>
    <w:unhideWhenUsed/>
    <w:pPr>
      <w:numPr>
        <w:numId w:val="12"/>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l-G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l-GR"/>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l-GR"/>
    </w:rPr>
  </w:style>
  <w:style w:type="paragraph" w:customStyle="1" w:styleId="ArticleTitle">
    <w:name w:val="Article Title"/>
    <w:basedOn w:val="Normal"/>
  </w:style>
  <w:style w:type="paragraph" w:customStyle="1" w:styleId="TextCorpus">
    <w:name w:val="TextCorpus"/>
    <w:pPr>
      <w:tabs>
        <w:tab w:val="left" w:pos="510"/>
        <w:tab w:val="left" w:pos="1020"/>
        <w:tab w:val="left" w:pos="1531"/>
        <w:tab w:val="left" w:pos="2041"/>
        <w:tab w:val="left" w:pos="2551"/>
        <w:tab w:val="left" w:pos="3061"/>
        <w:tab w:val="left" w:pos="3572"/>
        <w:tab w:val="left" w:pos="4082"/>
        <w:tab w:val="left" w:pos="4592"/>
        <w:tab w:val="left" w:pos="5102"/>
      </w:tabs>
      <w:spacing w:after="120" w:line="240" w:lineRule="auto"/>
      <w:jc w:val="both"/>
    </w:pPr>
    <w:rPr>
      <w:rFonts w:ascii="Times New Roman" w:eastAsia="Times New Roman" w:hAnsi="Times New Roman" w:cs="Times New Roman"/>
      <w:sz w:val="20"/>
      <w:szCs w:val="24"/>
    </w:rPr>
  </w:style>
  <w:style w:type="character" w:customStyle="1" w:styleId="Text1Char">
    <w:name w:val="Text 1 Char"/>
    <w:locked/>
    <w:rPr>
      <w:rFonts w:ascii="Times New Roman" w:hAnsi="Times New Roman" w:cs="Times New Roman"/>
      <w:sz w:val="24"/>
      <w:lang w:val="el-GR"/>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l-GR"/>
    </w:rPr>
  </w:style>
  <w:style w:type="paragraph" w:customStyle="1" w:styleId="TextBoldCenterItalTogetherBefore">
    <w:name w:val="TextBoldCenterItalTogetherBefore"/>
    <w:basedOn w:val="Normal"/>
    <w:pPr>
      <w:keepNext/>
      <w:keepLines/>
      <w:tabs>
        <w:tab w:val="left" w:pos="510"/>
        <w:tab w:val="left" w:pos="1020"/>
        <w:tab w:val="left" w:pos="1531"/>
        <w:tab w:val="left" w:pos="2041"/>
        <w:tab w:val="left" w:pos="2551"/>
        <w:tab w:val="left" w:pos="3061"/>
        <w:tab w:val="left" w:pos="3572"/>
        <w:tab w:val="left" w:pos="4082"/>
        <w:tab w:val="left" w:pos="4592"/>
        <w:tab w:val="left" w:pos="5102"/>
      </w:tabs>
      <w:jc w:val="center"/>
    </w:pPr>
    <w:rPr>
      <w:rFonts w:eastAsia="Times New Roman"/>
      <w:b/>
      <w:i/>
      <w:sz w:val="20"/>
      <w:szCs w:val="24"/>
    </w:rPr>
  </w:style>
  <w:style w:type="paragraph" w:styleId="Date">
    <w:name w:val="Date"/>
    <w:basedOn w:val="Normal"/>
    <w:next w:val="Normal"/>
    <w:link w:val="DateChar"/>
    <w:uiPriority w:val="99"/>
    <w:semiHidden/>
    <w:unhideWhenUsed/>
    <w:pPr>
      <w:spacing w:before="0" w:after="0"/>
      <w:jc w:val="left"/>
    </w:pPr>
    <w:rPr>
      <w:rFonts w:eastAsia="Times New Roman"/>
      <w:sz w:val="20"/>
      <w:szCs w:val="24"/>
    </w:rPr>
  </w:style>
  <w:style w:type="character" w:customStyle="1" w:styleId="DateChar">
    <w:name w:val="Date Char"/>
    <w:basedOn w:val="DefaultParagraphFont"/>
    <w:link w:val="Date"/>
    <w:uiPriority w:val="99"/>
    <w:semiHidden/>
    <w:rPr>
      <w:rFonts w:ascii="Times New Roman" w:eastAsia="Times New Roman" w:hAnsi="Times New Roman" w:cs="Times New Roman"/>
      <w:sz w:val="20"/>
      <w:szCs w:val="24"/>
      <w:lang w:val="el-GR"/>
    </w:rPr>
  </w:style>
  <w:style w:type="paragraph" w:customStyle="1" w:styleId="TextCenterItalTogetherBefore">
    <w:name w:val="TextCenterItalTogetherBefore"/>
    <w:basedOn w:val="Normal"/>
    <w:next w:val="TextCorpus"/>
    <w:pPr>
      <w:keepNext/>
      <w:keepLines/>
      <w:tabs>
        <w:tab w:val="left" w:pos="510"/>
        <w:tab w:val="left" w:pos="1020"/>
        <w:tab w:val="left" w:pos="1531"/>
        <w:tab w:val="left" w:pos="2041"/>
        <w:tab w:val="left" w:pos="2551"/>
        <w:tab w:val="left" w:pos="3061"/>
        <w:tab w:val="left" w:pos="3572"/>
        <w:tab w:val="left" w:pos="4082"/>
        <w:tab w:val="left" w:pos="4592"/>
        <w:tab w:val="left" w:pos="5102"/>
      </w:tabs>
      <w:jc w:val="center"/>
    </w:pPr>
    <w:rPr>
      <w:rFonts w:eastAsia="Times New Roman"/>
      <w:i/>
      <w:sz w:val="20"/>
      <w:szCs w:val="24"/>
    </w:rPr>
  </w:style>
  <w:style w:type="paragraph" w:customStyle="1" w:styleId="Titletile">
    <w:name w:val="Titletile"/>
    <w:basedOn w:val="SectionTitle"/>
  </w:style>
  <w:style w:type="paragraph" w:customStyle="1" w:styleId="Titletitle">
    <w:name w:val="Titletitle"/>
    <w:basedOn w:val="Titletile"/>
  </w:style>
  <w:style w:type="paragraph" w:customStyle="1" w:styleId="ChapterTite">
    <w:name w:val="ChapterTite"/>
    <w:basedOn w:val="Normal"/>
  </w:style>
  <w:style w:type="paragraph" w:customStyle="1" w:styleId="NumPar10">
    <w:name w:val="NumPar1"/>
    <w:basedOn w:val="Normal"/>
  </w:style>
  <w:style w:type="paragraph" w:customStyle="1" w:styleId="Titrear">
    <w:name w:val="Titre ar"/>
    <w:basedOn w:val="NumPar10"/>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Titrearti">
    <w:name w:val="Titre  arti"/>
    <w:basedOn w:val="Normal"/>
  </w:style>
  <w:style w:type="paragraph" w:customStyle="1" w:styleId="Numapr1">
    <w:name w:val="Numapr1"/>
    <w:basedOn w:val="Normal"/>
  </w:style>
  <w:style w:type="paragraph" w:customStyle="1" w:styleId="Nupar1">
    <w:name w:val="Nupar1"/>
    <w:basedOn w:val="Numapr1"/>
  </w:style>
  <w:style w:type="paragraph" w:customStyle="1" w:styleId="Numar1">
    <w:name w:val="Numar1"/>
    <w:basedOn w:val="Normal"/>
  </w:style>
  <w:style w:type="paragraph" w:customStyle="1" w:styleId="norm">
    <w:name w:val="norm"/>
    <w:basedOn w:val="Normal"/>
    <w:pPr>
      <w:spacing w:after="0"/>
    </w:pPr>
    <w:rPr>
      <w:rFonts w:eastAsia="Times New Roman"/>
      <w:szCs w:val="24"/>
    </w:rPr>
  </w:style>
  <w:style w:type="paragraph" w:customStyle="1" w:styleId="Normal1">
    <w:name w:val="Normal1"/>
    <w:basedOn w:val="Normal"/>
    <w:pPr>
      <w:spacing w:after="0"/>
    </w:pPr>
    <w:rPr>
      <w:rFonts w:eastAsia="Times New Roman"/>
      <w:szCs w:val="24"/>
    </w:rPr>
  </w:style>
  <w:style w:type="paragraph" w:customStyle="1" w:styleId="Tex1">
    <w:name w:val="Tex1"/>
    <w:basedOn w:val="Normal"/>
  </w:style>
  <w:style w:type="paragraph" w:customStyle="1" w:styleId="Num">
    <w:name w:val="Num"/>
    <w:basedOn w:val="Normal"/>
    <w:pPr>
      <w:tabs>
        <w:tab w:val="num" w:pos="850"/>
      </w:tabs>
      <w:ind w:left="850" w:hanging="850"/>
    </w:pPr>
  </w:style>
  <w:style w:type="paragraph" w:customStyle="1" w:styleId="FootnoteText1">
    <w:name w:val="Footnote Text1"/>
    <w:basedOn w:val="Point0letter"/>
    <w:qFormat/>
  </w:style>
  <w:style w:type="paragraph" w:customStyle="1" w:styleId="partTitre">
    <w:name w:val="partTitre"/>
    <w:basedOn w:val="Titrearticle"/>
  </w:style>
  <w:style w:type="paragraph" w:customStyle="1" w:styleId="ChapterTI">
    <w:name w:val="Chapter TI"/>
    <w:basedOn w:val="Normal"/>
  </w:style>
  <w:style w:type="paragraph" w:customStyle="1" w:styleId="Point">
    <w:name w:val="Point"/>
    <w:basedOn w:val="Normal"/>
    <w:pPr>
      <w:tabs>
        <w:tab w:val="left" w:pos="510"/>
        <w:tab w:val="left" w:pos="1020"/>
        <w:tab w:val="left" w:pos="1531"/>
        <w:tab w:val="left" w:pos="2041"/>
        <w:tab w:val="left" w:pos="2551"/>
        <w:tab w:val="left" w:pos="3061"/>
        <w:tab w:val="left" w:pos="3572"/>
        <w:tab w:val="left" w:pos="4082"/>
        <w:tab w:val="left" w:pos="4592"/>
        <w:tab w:val="left" w:pos="5102"/>
      </w:tabs>
      <w:spacing w:before="0"/>
      <w:ind w:left="510" w:hanging="510"/>
    </w:pPr>
    <w:rPr>
      <w:rFonts w:eastAsia="Times New Roman"/>
      <w:sz w:val="20"/>
      <w:szCs w:val="24"/>
    </w:rPr>
  </w:style>
  <w:style w:type="paragraph" w:customStyle="1" w:styleId="poin">
    <w:name w:val="poin"/>
    <w:basedOn w:val="Text1"/>
  </w:style>
  <w:style w:type="paragraph" w:customStyle="1" w:styleId="Opoint1">
    <w:name w:val="Opoint 1"/>
    <w:basedOn w:val="Point0letter"/>
    <w:pPr>
      <w:numPr>
        <w:ilvl w:val="0"/>
        <w:numId w:val="0"/>
      </w:numPr>
      <w:tabs>
        <w:tab w:val="num" w:pos="850"/>
      </w:tabs>
      <w:ind w:left="850" w:hanging="850"/>
    </w:pPr>
  </w:style>
  <w:style w:type="paragraph" w:customStyle="1" w:styleId="Part">
    <w:name w:val="Part"/>
    <w:basedOn w:val="Point2number"/>
    <w:pPr>
      <w:numPr>
        <w:ilvl w:val="0"/>
        <w:numId w:val="0"/>
      </w:numPr>
      <w:tabs>
        <w:tab w:val="num" w:pos="1984"/>
      </w:tabs>
      <w:ind w:left="1984" w:hanging="567"/>
    </w:pPr>
  </w:style>
  <w:style w:type="paragraph" w:customStyle="1" w:styleId="Chapter">
    <w:name w:val="Chapter"/>
    <w:basedOn w:val="Point2number"/>
    <w:pPr>
      <w:numPr>
        <w:ilvl w:val="0"/>
        <w:numId w:val="0"/>
      </w:numPr>
      <w:tabs>
        <w:tab w:val="num" w:pos="1984"/>
      </w:tabs>
      <w:ind w:left="1984" w:hanging="567"/>
    </w:pPr>
  </w:style>
  <w:style w:type="paragraph" w:customStyle="1" w:styleId="a">
    <w:name w:val="#"/>
    <w:basedOn w:val="Point0letter"/>
    <w:pPr>
      <w:numPr>
        <w:ilvl w:val="0"/>
        <w:numId w:val="0"/>
      </w:numPr>
      <w:tabs>
        <w:tab w:val="num" w:pos="850"/>
      </w:tabs>
      <w:ind w:left="960" w:hanging="850"/>
    </w:pPr>
  </w:style>
  <w:style w:type="paragraph" w:customStyle="1" w:styleId="Article">
    <w:name w:val="Article"/>
    <w:basedOn w:val="Point0letter"/>
    <w:pPr>
      <w:numPr>
        <w:ilvl w:val="0"/>
        <w:numId w:val="0"/>
      </w:numPr>
      <w:tabs>
        <w:tab w:val="num" w:pos="850"/>
      </w:tabs>
      <w:ind w:left="850" w:hanging="850"/>
    </w:pPr>
  </w:style>
  <w:style w:type="paragraph" w:customStyle="1" w:styleId="Parnum">
    <w:name w:val="Parnum"/>
    <w:basedOn w:val="Text1"/>
  </w:style>
  <w:style w:type="paragraph" w:customStyle="1" w:styleId="PointLETT">
    <w:name w:val="Point = LETT"/>
    <w:basedOn w:val="NumPar1"/>
    <w:pPr>
      <w:numPr>
        <w:numId w:val="0"/>
      </w:numPr>
      <w:tabs>
        <w:tab w:val="num" w:pos="850"/>
      </w:tabs>
      <w:ind w:left="850" w:hanging="850"/>
    </w:pPr>
  </w:style>
  <w:style w:type="paragraph" w:customStyle="1" w:styleId="ChapterTItre">
    <w:name w:val="Chapter TItre"/>
    <w:basedOn w:val="Point2number"/>
    <w:pPr>
      <w:numPr>
        <w:ilvl w:val="0"/>
        <w:numId w:val="0"/>
      </w:numPr>
      <w:tabs>
        <w:tab w:val="num" w:pos="1984"/>
      </w:tabs>
      <w:ind w:left="1984" w:hanging="567"/>
    </w:pPr>
  </w:style>
  <w:style w:type="paragraph" w:customStyle="1" w:styleId="PointL">
    <w:name w:val="Point L"/>
    <w:basedOn w:val="NumPar1"/>
    <w:pPr>
      <w:numPr>
        <w:numId w:val="0"/>
      </w:numPr>
      <w:tabs>
        <w:tab w:val="num" w:pos="850"/>
      </w:tabs>
      <w:ind w:left="850" w:hanging="850"/>
    </w:pPr>
  </w:style>
  <w:style w:type="paragraph" w:customStyle="1" w:styleId="Titr">
    <w:name w:val="Titr"/>
    <w:basedOn w:val="NumPar1"/>
    <w:pPr>
      <w:numPr>
        <w:numId w:val="0"/>
      </w:numPr>
      <w:tabs>
        <w:tab w:val="num" w:pos="850"/>
      </w:tabs>
      <w:ind w:left="850" w:hanging="850"/>
    </w:pPr>
    <w:rPr>
      <w:i/>
    </w:rPr>
  </w:style>
  <w:style w:type="paragraph" w:customStyle="1" w:styleId="Partti">
    <w:name w:val="Part ti"/>
    <w:basedOn w:val="ChapterTitle"/>
  </w:style>
  <w:style w:type="paragraph" w:customStyle="1" w:styleId="TitreARTICLE0">
    <w:name w:val="TitreARTICLE"/>
    <w:basedOn w:val="ChapterTitle"/>
  </w:style>
  <w:style w:type="paragraph" w:customStyle="1" w:styleId="Itre">
    <w:name w:val="Itre"/>
    <w:basedOn w:val="Normal"/>
    <w:pPr>
      <w:spacing w:before="0" w:after="200" w:line="276" w:lineRule="auto"/>
      <w:jc w:val="left"/>
    </w:pPr>
    <w:rPr>
      <w:rFonts w:asciiTheme="minorHAnsi" w:hAnsiTheme="minorHAnsi" w:cstheme="minorBidi"/>
      <w:sz w:val="22"/>
    </w:rPr>
  </w:style>
  <w:style w:type="paragraph" w:customStyle="1" w:styleId="Titrearticel">
    <w:name w:val="Titre articel"/>
    <w:basedOn w:val="Normal"/>
    <w:rPr>
      <w:rFonts w:eastAsia="Calibri"/>
    </w:rPr>
  </w:style>
  <w:style w:type="paragraph" w:customStyle="1" w:styleId="Titre">
    <w:name w:val="Titre+"/>
    <w:basedOn w:val="Titrearticel"/>
  </w:style>
  <w:style w:type="paragraph" w:customStyle="1" w:styleId="stitle-article-norm">
    <w:name w:val="stitle-article-norm"/>
    <w:basedOn w:val="Normal"/>
    <w:pPr>
      <w:spacing w:before="240"/>
      <w:jc w:val="center"/>
    </w:pPr>
    <w:rPr>
      <w:rFonts w:eastAsia="Times New Roman"/>
      <w:b/>
      <w:bCs/>
      <w:szCs w:val="24"/>
    </w:rPr>
  </w:style>
  <w:style w:type="paragraph" w:customStyle="1" w:styleId="Titl">
    <w:name w:val="Titl"/>
    <w:basedOn w:val="stitle-article-norm"/>
  </w:style>
  <w:style w:type="paragraph" w:customStyle="1" w:styleId="Tim">
    <w:name w:val="Tim"/>
    <w:basedOn w:val="Normal"/>
    <w:pPr>
      <w:numPr>
        <w:numId w:val="82"/>
      </w:numPr>
      <w:spacing w:before="0" w:after="200" w:line="276" w:lineRule="auto"/>
      <w:contextualSpacing/>
      <w:jc w:val="left"/>
    </w:pPr>
    <w:rPr>
      <w:rFonts w:asciiTheme="minorHAnsi" w:hAnsiTheme="minorHAnsi" w:cstheme="minorBidi"/>
      <w:sz w:val="22"/>
    </w:rPr>
  </w:style>
  <w:style w:type="paragraph" w:customStyle="1" w:styleId="PointLetter">
    <w:name w:val="Point Letter"/>
    <w:basedOn w:val="ListNumberLevel4"/>
    <w:pPr>
      <w:numPr>
        <w:ilvl w:val="0"/>
        <w:numId w:val="0"/>
      </w:numPr>
      <w:tabs>
        <w:tab w:val="num" w:pos="850"/>
      </w:tabs>
      <w:ind w:left="850" w:hanging="850"/>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l">
    <w:name w:val="Nomal"/>
    <w:basedOn w:val="Text1"/>
  </w:style>
  <w:style w:type="paragraph" w:customStyle="1" w:styleId="Normale1">
    <w:name w:val="Normale1"/>
    <w:basedOn w:val="Normal"/>
    <w:pPr>
      <w:spacing w:before="100" w:beforeAutospacing="1" w:after="100" w:afterAutospacing="1"/>
      <w:jc w:val="left"/>
    </w:pPr>
    <w:rPr>
      <w:rFonts w:eastAsia="Times New Roman"/>
      <w:szCs w:val="24"/>
    </w:rPr>
  </w:style>
  <w:style w:type="paragraph" w:customStyle="1" w:styleId="Para">
    <w:name w:val="Para"/>
    <w:basedOn w:val="ListParagraph"/>
    <w:pPr>
      <w:numPr>
        <w:numId w:val="83"/>
      </w:numPr>
      <w:spacing w:before="0" w:after="0"/>
      <w:contextualSpacing w:val="0"/>
      <w:jc w:val="left"/>
    </w:pPr>
    <w:rPr>
      <w:rFonts w:asciiTheme="minorHAnsi" w:hAnsiTheme="minorHAnsi" w:cstheme="minorBidi"/>
      <w:sz w:val="22"/>
    </w:rPr>
  </w:style>
  <w:style w:type="paragraph" w:customStyle="1" w:styleId="Titreaticle">
    <w:name w:val="Titre aticle"/>
    <w:basedOn w:val="NumPar1"/>
    <w:pPr>
      <w:numPr>
        <w:numId w:val="0"/>
      </w:numPr>
      <w:tabs>
        <w:tab w:val="num" w:pos="850"/>
      </w:tabs>
      <w:ind w:left="850" w:hanging="850"/>
    </w:pPr>
  </w:style>
  <w:style w:type="paragraph" w:customStyle="1" w:styleId="Rnormal">
    <w:name w:val="Rnormal"/>
    <w:basedOn w:val="NumPar1"/>
    <w:pPr>
      <w:numPr>
        <w:numId w:val="0"/>
      </w:numPr>
      <w:tabs>
        <w:tab w:val="num" w:pos="850"/>
      </w:tabs>
      <w:ind w:left="850" w:hanging="850"/>
    </w:pPr>
  </w:style>
  <w:style w:type="paragraph" w:styleId="NoSpacing">
    <w:name w:val="No Spacing"/>
    <w:uiPriority w:val="1"/>
    <w:qFormat/>
    <w:pPr>
      <w:spacing w:after="0" w:line="240" w:lineRule="auto"/>
      <w:jc w:val="both"/>
    </w:pPr>
    <w:rPr>
      <w:rFonts w:ascii="Times New Roman" w:hAnsi="Times New Roman" w:cs="Times New Roman"/>
      <w:sz w:val="24"/>
    </w:rPr>
  </w:style>
  <w:style w:type="paragraph" w:customStyle="1" w:styleId="Br">
    <w:name w:val="Br"/>
    <w:basedOn w:val="Titrearticle"/>
    <w:rPr>
      <w:b/>
      <w:i w:val="0"/>
    </w:rPr>
  </w:style>
  <w:style w:type="paragraph" w:customStyle="1" w:styleId="Numpar">
    <w:name w:val="Num par"/>
    <w:basedOn w:val="Normal"/>
    <w:pPr>
      <w:spacing w:before="0" w:after="0"/>
    </w:p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arttcle">
    <w:name w:val="Titre arttcle"/>
    <w:basedOn w:val="Normal"/>
    <w:pPr>
      <w:spacing w:before="0" w:after="200" w:line="276" w:lineRule="auto"/>
      <w:jc w:val="left"/>
    </w:pPr>
    <w:rPr>
      <w:rFonts w:asciiTheme="minorHAnsi" w:hAnsiTheme="minorHAnsi" w:cstheme="minorBidi"/>
      <w:color w:val="1F497D" w:themeColor="dark2"/>
      <w:sz w:val="22"/>
    </w:rPr>
  </w:style>
  <w:style w:type="character" w:styleId="FollowedHyperlink">
    <w:name w:val="FollowedHyperlink"/>
    <w:basedOn w:val="DefaultParagraphFont"/>
    <w:unhideWhenUsed/>
    <w:rPr>
      <w:color w:val="800080" w:themeColor="followedHyperlink"/>
      <w:u w:val="single"/>
    </w:rPr>
  </w:style>
  <w:style w:type="character" w:styleId="Strong">
    <w:name w:val="Strong"/>
    <w:basedOn w:val="DefaultParagraphFont"/>
    <w:uiPriority w:val="22"/>
    <w:qFormat/>
    <w:rPr>
      <w:b/>
      <w:bCs/>
    </w:rPr>
  </w:style>
  <w:style w:type="numbering" w:customStyle="1" w:styleId="NoList1">
    <w:name w:val="No List1"/>
    <w:next w:val="NoList"/>
    <w:uiPriority w:val="99"/>
    <w:semiHidden/>
    <w:unhideWhenUsed/>
  </w:style>
  <w:style w:type="paragraph" w:customStyle="1" w:styleId="ListDash">
    <w:name w:val="List Dash"/>
    <w:basedOn w:val="Normal"/>
    <w:pPr>
      <w:numPr>
        <w:numId w:val="84"/>
      </w:numPr>
    </w:pPr>
    <w:rPr>
      <w:rFonts w:eastAsia="Times New Roman"/>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numbering" w:customStyle="1" w:styleId="NoList2">
    <w:name w:val="No List2"/>
    <w:next w:val="NoList"/>
    <w:uiPriority w:val="99"/>
    <w:semiHidden/>
    <w:unhideWhenUsed/>
  </w:style>
  <w:style w:type="paragraph" w:customStyle="1" w:styleId="ManualHeading2g1">
    <w:name w:val="Manual Heading 2g 1"/>
    <w:basedOn w:val="ManualHeading1"/>
    <w:rPr>
      <w:noProof/>
    </w:rPr>
  </w:style>
  <w:style w:type="paragraph" w:customStyle="1" w:styleId="ChapterTitle0">
    <w:name w:val="ChapterTitle"/>
    <w:basedOn w:val="Normal"/>
    <w:next w:val="Normal"/>
    <w:pPr>
      <w:keepNext/>
      <w:spacing w:after="360"/>
      <w:jc w:val="center"/>
    </w:pPr>
    <w:rPr>
      <w:b/>
      <w:sz w:val="32"/>
    </w:rPr>
  </w:style>
  <w:style w:type="paragraph" w:customStyle="1" w:styleId="Titrearticle1">
    <w:name w:val="Titre article"/>
    <w:basedOn w:val="Normal"/>
    <w:next w:val="Normal"/>
    <w:pPr>
      <w:keepNext/>
      <w:spacing w:before="360"/>
      <w:jc w:val="center"/>
    </w:pPr>
    <w:rPr>
      <w:i/>
    </w:rPr>
  </w:style>
  <w:style w:type="paragraph" w:customStyle="1" w:styleId="Titrearticle2">
    <w:name w:val="Titre article"/>
    <w:basedOn w:val="Normal"/>
    <w:next w:val="Normal"/>
    <w:pPr>
      <w:keepNext/>
      <w:spacing w:before="360"/>
      <w:jc w:val="center"/>
    </w:pPr>
    <w:rPr>
      <w:i/>
    </w:rPr>
  </w:style>
  <w:style w:type="paragraph" w:customStyle="1" w:styleId="Point1">
    <w:name w:val="Point 1"/>
    <w:basedOn w:val="Normal"/>
    <w:pPr>
      <w:ind w:left="1417" w:hanging="567"/>
    </w:pPr>
  </w:style>
  <w:style w:type="paragraph" w:styleId="Header">
    <w:name w:val="header"/>
    <w:basedOn w:val="Normal"/>
    <w:link w:val="HeaderChar"/>
    <w:uiPriority w:val="99"/>
    <w:unhideWhenUsed/>
    <w:rsid w:val="005B0D19"/>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5B0D19"/>
    <w:rPr>
      <w:rFonts w:ascii="Times New Roman" w:hAnsi="Times New Roman" w:cs="Times New Roman"/>
      <w:sz w:val="24"/>
      <w:lang w:eastAsia="en-US" w:bidi="ar-SA"/>
    </w:rPr>
  </w:style>
  <w:style w:type="paragraph" w:styleId="Footer">
    <w:name w:val="footer"/>
    <w:basedOn w:val="Normal"/>
    <w:link w:val="FooterChar"/>
    <w:uiPriority w:val="99"/>
    <w:unhideWhenUsed/>
    <w:rsid w:val="005B0D19"/>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5B0D1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5B0D19"/>
    <w:pPr>
      <w:tabs>
        <w:tab w:val="center" w:pos="7285"/>
        <w:tab w:val="right" w:pos="14003"/>
      </w:tabs>
      <w:spacing w:before="0"/>
    </w:pPr>
    <w:rPr>
      <w:lang w:eastAsia="en-US" w:bidi="ar-SA"/>
    </w:rPr>
  </w:style>
  <w:style w:type="paragraph" w:customStyle="1" w:styleId="FooterLandscape">
    <w:name w:val="FooterLandscape"/>
    <w:basedOn w:val="Normal"/>
    <w:rsid w:val="005B0D19"/>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5B0D19"/>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5B0D19"/>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0">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87"/>
      </w:numPr>
    </w:pPr>
  </w:style>
  <w:style w:type="paragraph" w:customStyle="1" w:styleId="Tiret1">
    <w:name w:val="Tiret 1"/>
    <w:basedOn w:val="Point10"/>
    <w:pPr>
      <w:numPr>
        <w:numId w:val="88"/>
      </w:numPr>
    </w:pPr>
  </w:style>
  <w:style w:type="paragraph" w:customStyle="1" w:styleId="Tiret2">
    <w:name w:val="Tiret 2"/>
    <w:basedOn w:val="Point2"/>
    <w:pPr>
      <w:numPr>
        <w:numId w:val="89"/>
      </w:numPr>
    </w:pPr>
  </w:style>
  <w:style w:type="paragraph" w:customStyle="1" w:styleId="Tiret3">
    <w:name w:val="Tiret 3"/>
    <w:basedOn w:val="Point3"/>
    <w:pPr>
      <w:numPr>
        <w:numId w:val="90"/>
      </w:numPr>
    </w:pPr>
  </w:style>
  <w:style w:type="paragraph" w:customStyle="1" w:styleId="Tiret4">
    <w:name w:val="Tiret 4"/>
    <w:basedOn w:val="Point4"/>
    <w:pPr>
      <w:numPr>
        <w:numId w:val="9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92"/>
      </w:numPr>
    </w:pPr>
  </w:style>
  <w:style w:type="paragraph" w:customStyle="1" w:styleId="NumPar2">
    <w:name w:val="NumPar 2"/>
    <w:basedOn w:val="Normal"/>
    <w:next w:val="Text1"/>
    <w:pPr>
      <w:numPr>
        <w:ilvl w:val="1"/>
        <w:numId w:val="92"/>
      </w:numPr>
    </w:pPr>
  </w:style>
  <w:style w:type="paragraph" w:customStyle="1" w:styleId="NumPar3">
    <w:name w:val="NumPar 3"/>
    <w:basedOn w:val="Normal"/>
    <w:next w:val="Text1"/>
    <w:pPr>
      <w:numPr>
        <w:ilvl w:val="2"/>
        <w:numId w:val="92"/>
      </w:numPr>
    </w:pPr>
  </w:style>
  <w:style w:type="paragraph" w:customStyle="1" w:styleId="NumPar4">
    <w:name w:val="NumPar 4"/>
    <w:basedOn w:val="Normal"/>
    <w:next w:val="Text1"/>
    <w:pPr>
      <w:numPr>
        <w:ilvl w:val="3"/>
        <w:numId w:val="9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94"/>
      </w:numPr>
    </w:pPr>
  </w:style>
  <w:style w:type="paragraph" w:customStyle="1" w:styleId="Point1number">
    <w:name w:val="Point 1 (number)"/>
    <w:basedOn w:val="Normal"/>
    <w:pPr>
      <w:numPr>
        <w:ilvl w:val="2"/>
        <w:numId w:val="94"/>
      </w:numPr>
    </w:pPr>
  </w:style>
  <w:style w:type="paragraph" w:customStyle="1" w:styleId="Point2number">
    <w:name w:val="Point 2 (number)"/>
    <w:basedOn w:val="Normal"/>
    <w:pPr>
      <w:numPr>
        <w:ilvl w:val="4"/>
        <w:numId w:val="94"/>
      </w:numPr>
    </w:pPr>
  </w:style>
  <w:style w:type="paragraph" w:customStyle="1" w:styleId="Point3number">
    <w:name w:val="Point 3 (number)"/>
    <w:basedOn w:val="Normal"/>
    <w:pPr>
      <w:numPr>
        <w:ilvl w:val="6"/>
        <w:numId w:val="94"/>
      </w:numPr>
    </w:pPr>
  </w:style>
  <w:style w:type="paragraph" w:customStyle="1" w:styleId="Point0letter">
    <w:name w:val="Point 0 (letter)"/>
    <w:basedOn w:val="Normal"/>
    <w:pPr>
      <w:numPr>
        <w:ilvl w:val="1"/>
        <w:numId w:val="94"/>
      </w:numPr>
    </w:pPr>
  </w:style>
  <w:style w:type="paragraph" w:customStyle="1" w:styleId="Point1letter">
    <w:name w:val="Point 1 (letter)"/>
    <w:basedOn w:val="Normal"/>
    <w:pPr>
      <w:numPr>
        <w:ilvl w:val="3"/>
        <w:numId w:val="94"/>
      </w:numPr>
    </w:pPr>
  </w:style>
  <w:style w:type="paragraph" w:customStyle="1" w:styleId="Point2letter">
    <w:name w:val="Point 2 (letter)"/>
    <w:basedOn w:val="Normal"/>
    <w:pPr>
      <w:numPr>
        <w:ilvl w:val="5"/>
        <w:numId w:val="94"/>
      </w:numPr>
    </w:pPr>
  </w:style>
  <w:style w:type="paragraph" w:customStyle="1" w:styleId="Point3letter">
    <w:name w:val="Point 3 (letter)"/>
    <w:basedOn w:val="Normal"/>
    <w:pPr>
      <w:numPr>
        <w:ilvl w:val="7"/>
        <w:numId w:val="94"/>
      </w:numPr>
    </w:pPr>
  </w:style>
  <w:style w:type="paragraph" w:customStyle="1" w:styleId="Point4letter">
    <w:name w:val="Point 4 (letter)"/>
    <w:basedOn w:val="Normal"/>
    <w:pPr>
      <w:numPr>
        <w:ilvl w:val="8"/>
        <w:numId w:val="94"/>
      </w:numPr>
    </w:pPr>
  </w:style>
  <w:style w:type="paragraph" w:customStyle="1" w:styleId="Bullet0">
    <w:name w:val="Bullet 0"/>
    <w:basedOn w:val="Normal"/>
    <w:pPr>
      <w:numPr>
        <w:numId w:val="95"/>
      </w:numPr>
    </w:pPr>
  </w:style>
  <w:style w:type="paragraph" w:customStyle="1" w:styleId="Bullet1">
    <w:name w:val="Bullet 1"/>
    <w:basedOn w:val="Normal"/>
    <w:pPr>
      <w:numPr>
        <w:numId w:val="96"/>
      </w:numPr>
    </w:pPr>
  </w:style>
  <w:style w:type="paragraph" w:customStyle="1" w:styleId="Bullet2">
    <w:name w:val="Bullet 2"/>
    <w:basedOn w:val="Normal"/>
    <w:pPr>
      <w:numPr>
        <w:numId w:val="97"/>
      </w:numPr>
    </w:pPr>
  </w:style>
  <w:style w:type="paragraph" w:customStyle="1" w:styleId="Bullet3">
    <w:name w:val="Bullet 3"/>
    <w:basedOn w:val="Normal"/>
    <w:pPr>
      <w:numPr>
        <w:numId w:val="98"/>
      </w:numPr>
    </w:pPr>
  </w:style>
  <w:style w:type="paragraph" w:customStyle="1" w:styleId="Bullet4">
    <w:name w:val="Bullet 4"/>
    <w:basedOn w:val="Normal"/>
    <w:pPr>
      <w:numPr>
        <w:numId w:val="9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0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r="http://schemas.openxmlformats.org/officeDocument/2006/relationships" xmlns:w="http://schemas.openxmlformats.org/wordprocessingml/2006/main">
  <w:divs>
    <w:div w:id="51659140">
      <w:bodyDiv w:val="1"/>
      <w:marLeft w:val="390"/>
      <w:marRight w:val="390"/>
      <w:marTop w:val="0"/>
      <w:marBottom w:val="0"/>
      <w:divBdr>
        <w:top w:val="none" w:sz="0" w:space="0" w:color="auto"/>
        <w:left w:val="none" w:sz="0" w:space="0" w:color="auto"/>
        <w:bottom w:val="none" w:sz="0" w:space="0" w:color="auto"/>
        <w:right w:val="none" w:sz="0" w:space="0" w:color="auto"/>
      </w:divBdr>
    </w:div>
    <w:div w:id="69351765">
      <w:bodyDiv w:val="1"/>
      <w:marLeft w:val="0"/>
      <w:marRight w:val="0"/>
      <w:marTop w:val="0"/>
      <w:marBottom w:val="0"/>
      <w:divBdr>
        <w:top w:val="none" w:sz="0" w:space="0" w:color="auto"/>
        <w:left w:val="none" w:sz="0" w:space="0" w:color="auto"/>
        <w:bottom w:val="none" w:sz="0" w:space="0" w:color="auto"/>
        <w:right w:val="none" w:sz="0" w:space="0" w:color="auto"/>
      </w:divBdr>
    </w:div>
    <w:div w:id="141432542">
      <w:bodyDiv w:val="1"/>
      <w:marLeft w:val="0"/>
      <w:marRight w:val="0"/>
      <w:marTop w:val="0"/>
      <w:marBottom w:val="0"/>
      <w:divBdr>
        <w:top w:val="none" w:sz="0" w:space="0" w:color="auto"/>
        <w:left w:val="none" w:sz="0" w:space="0" w:color="auto"/>
        <w:bottom w:val="none" w:sz="0" w:space="0" w:color="auto"/>
        <w:right w:val="none" w:sz="0" w:space="0" w:color="auto"/>
      </w:divBdr>
      <w:divsChild>
        <w:div w:id="1074473503">
          <w:marLeft w:val="0"/>
          <w:marRight w:val="0"/>
          <w:marTop w:val="0"/>
          <w:marBottom w:val="0"/>
          <w:divBdr>
            <w:top w:val="none" w:sz="0" w:space="0" w:color="auto"/>
            <w:left w:val="none" w:sz="0" w:space="0" w:color="auto"/>
            <w:bottom w:val="none" w:sz="0" w:space="0" w:color="auto"/>
            <w:right w:val="none" w:sz="0" w:space="0" w:color="auto"/>
          </w:divBdr>
          <w:divsChild>
            <w:div w:id="81225376">
              <w:marLeft w:val="0"/>
              <w:marRight w:val="0"/>
              <w:marTop w:val="0"/>
              <w:marBottom w:val="0"/>
              <w:divBdr>
                <w:top w:val="none" w:sz="0" w:space="0" w:color="auto"/>
                <w:left w:val="none" w:sz="0" w:space="0" w:color="auto"/>
                <w:bottom w:val="none" w:sz="0" w:space="0" w:color="auto"/>
                <w:right w:val="none" w:sz="0" w:space="0" w:color="auto"/>
              </w:divBdr>
              <w:divsChild>
                <w:div w:id="1270240582">
                  <w:marLeft w:val="0"/>
                  <w:marRight w:val="0"/>
                  <w:marTop w:val="0"/>
                  <w:marBottom w:val="0"/>
                  <w:divBdr>
                    <w:top w:val="none" w:sz="0" w:space="0" w:color="auto"/>
                    <w:left w:val="none" w:sz="0" w:space="0" w:color="auto"/>
                    <w:bottom w:val="none" w:sz="0" w:space="0" w:color="auto"/>
                    <w:right w:val="none" w:sz="0" w:space="0" w:color="auto"/>
                  </w:divBdr>
                  <w:divsChild>
                    <w:div w:id="807362665">
                      <w:marLeft w:val="0"/>
                      <w:marRight w:val="0"/>
                      <w:marTop w:val="0"/>
                      <w:marBottom w:val="0"/>
                      <w:divBdr>
                        <w:top w:val="none" w:sz="0" w:space="0" w:color="auto"/>
                        <w:left w:val="none" w:sz="0" w:space="0" w:color="auto"/>
                        <w:bottom w:val="none" w:sz="0" w:space="0" w:color="auto"/>
                        <w:right w:val="none" w:sz="0" w:space="0" w:color="auto"/>
                      </w:divBdr>
                      <w:divsChild>
                        <w:div w:id="1823161690">
                          <w:marLeft w:val="0"/>
                          <w:marRight w:val="0"/>
                          <w:marTop w:val="0"/>
                          <w:marBottom w:val="0"/>
                          <w:divBdr>
                            <w:top w:val="none" w:sz="0" w:space="0" w:color="auto"/>
                            <w:left w:val="none" w:sz="0" w:space="0" w:color="auto"/>
                            <w:bottom w:val="none" w:sz="0" w:space="0" w:color="auto"/>
                            <w:right w:val="none" w:sz="0" w:space="0" w:color="auto"/>
                          </w:divBdr>
                          <w:divsChild>
                            <w:div w:id="1823425834">
                              <w:marLeft w:val="0"/>
                              <w:marRight w:val="0"/>
                              <w:marTop w:val="15"/>
                              <w:marBottom w:val="0"/>
                              <w:divBdr>
                                <w:top w:val="none" w:sz="0" w:space="0" w:color="auto"/>
                                <w:left w:val="none" w:sz="0" w:space="0" w:color="auto"/>
                                <w:bottom w:val="none" w:sz="0" w:space="0" w:color="auto"/>
                                <w:right w:val="none" w:sz="0" w:space="0" w:color="auto"/>
                              </w:divBdr>
                              <w:divsChild>
                                <w:div w:id="997807346">
                                  <w:marLeft w:val="0"/>
                                  <w:marRight w:val="0"/>
                                  <w:marTop w:val="0"/>
                                  <w:marBottom w:val="0"/>
                                  <w:divBdr>
                                    <w:top w:val="none" w:sz="0" w:space="0" w:color="auto"/>
                                    <w:left w:val="none" w:sz="0" w:space="0" w:color="auto"/>
                                    <w:bottom w:val="none" w:sz="0" w:space="0" w:color="auto"/>
                                    <w:right w:val="none" w:sz="0" w:space="0" w:color="auto"/>
                                  </w:divBdr>
                                  <w:divsChild>
                                    <w:div w:id="772358664">
                                      <w:marLeft w:val="0"/>
                                      <w:marRight w:val="0"/>
                                      <w:marTop w:val="0"/>
                                      <w:marBottom w:val="0"/>
                                      <w:divBdr>
                                        <w:top w:val="none" w:sz="0" w:space="0" w:color="auto"/>
                                        <w:left w:val="none" w:sz="0" w:space="0" w:color="auto"/>
                                        <w:bottom w:val="none" w:sz="0" w:space="0" w:color="auto"/>
                                        <w:right w:val="none" w:sz="0" w:space="0" w:color="auto"/>
                                      </w:divBdr>
                                    </w:div>
                                    <w:div w:id="1147362780">
                                      <w:marLeft w:val="0"/>
                                      <w:marRight w:val="0"/>
                                      <w:marTop w:val="0"/>
                                      <w:marBottom w:val="0"/>
                                      <w:divBdr>
                                        <w:top w:val="none" w:sz="0" w:space="0" w:color="auto"/>
                                        <w:left w:val="none" w:sz="0" w:space="0" w:color="auto"/>
                                        <w:bottom w:val="none" w:sz="0" w:space="0" w:color="auto"/>
                                        <w:right w:val="none" w:sz="0" w:space="0" w:color="auto"/>
                                      </w:divBdr>
                                    </w:div>
                                    <w:div w:id="1375740796">
                                      <w:marLeft w:val="0"/>
                                      <w:marRight w:val="0"/>
                                      <w:marTop w:val="0"/>
                                      <w:marBottom w:val="0"/>
                                      <w:divBdr>
                                        <w:top w:val="none" w:sz="0" w:space="0" w:color="auto"/>
                                        <w:left w:val="none" w:sz="0" w:space="0" w:color="auto"/>
                                        <w:bottom w:val="none" w:sz="0" w:space="0" w:color="auto"/>
                                        <w:right w:val="none" w:sz="0" w:space="0" w:color="auto"/>
                                      </w:divBdr>
                                    </w:div>
                                    <w:div w:id="1822892541">
                                      <w:marLeft w:val="0"/>
                                      <w:marRight w:val="0"/>
                                      <w:marTop w:val="0"/>
                                      <w:marBottom w:val="0"/>
                                      <w:divBdr>
                                        <w:top w:val="none" w:sz="0" w:space="0" w:color="auto"/>
                                        <w:left w:val="none" w:sz="0" w:space="0" w:color="auto"/>
                                        <w:bottom w:val="none" w:sz="0" w:space="0" w:color="auto"/>
                                        <w:right w:val="none" w:sz="0" w:space="0" w:color="auto"/>
                                      </w:divBdr>
                                    </w:div>
                                    <w:div w:id="205226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98943">
      <w:bodyDiv w:val="1"/>
      <w:marLeft w:val="0"/>
      <w:marRight w:val="0"/>
      <w:marTop w:val="0"/>
      <w:marBottom w:val="0"/>
      <w:divBdr>
        <w:top w:val="none" w:sz="0" w:space="0" w:color="auto"/>
        <w:left w:val="none" w:sz="0" w:space="0" w:color="auto"/>
        <w:bottom w:val="none" w:sz="0" w:space="0" w:color="auto"/>
        <w:right w:val="none" w:sz="0" w:space="0" w:color="auto"/>
      </w:divBdr>
      <w:divsChild>
        <w:div w:id="123281367">
          <w:marLeft w:val="0"/>
          <w:marRight w:val="0"/>
          <w:marTop w:val="0"/>
          <w:marBottom w:val="0"/>
          <w:divBdr>
            <w:top w:val="none" w:sz="0" w:space="0" w:color="auto"/>
            <w:left w:val="none" w:sz="0" w:space="0" w:color="auto"/>
            <w:bottom w:val="none" w:sz="0" w:space="0" w:color="auto"/>
            <w:right w:val="none" w:sz="0" w:space="0" w:color="auto"/>
          </w:divBdr>
          <w:divsChild>
            <w:div w:id="1889341258">
              <w:marLeft w:val="0"/>
              <w:marRight w:val="0"/>
              <w:marTop w:val="0"/>
              <w:marBottom w:val="0"/>
              <w:divBdr>
                <w:top w:val="none" w:sz="0" w:space="0" w:color="auto"/>
                <w:left w:val="none" w:sz="0" w:space="0" w:color="auto"/>
                <w:bottom w:val="none" w:sz="0" w:space="0" w:color="auto"/>
                <w:right w:val="none" w:sz="0" w:space="0" w:color="auto"/>
              </w:divBdr>
              <w:divsChild>
                <w:div w:id="1986352107">
                  <w:marLeft w:val="0"/>
                  <w:marRight w:val="0"/>
                  <w:marTop w:val="0"/>
                  <w:marBottom w:val="0"/>
                  <w:divBdr>
                    <w:top w:val="none" w:sz="0" w:space="0" w:color="auto"/>
                    <w:left w:val="none" w:sz="0" w:space="0" w:color="auto"/>
                    <w:bottom w:val="none" w:sz="0" w:space="0" w:color="auto"/>
                    <w:right w:val="none" w:sz="0" w:space="0" w:color="auto"/>
                  </w:divBdr>
                  <w:divsChild>
                    <w:div w:id="740642454">
                      <w:marLeft w:val="0"/>
                      <w:marRight w:val="0"/>
                      <w:marTop w:val="0"/>
                      <w:marBottom w:val="0"/>
                      <w:divBdr>
                        <w:top w:val="none" w:sz="0" w:space="0" w:color="auto"/>
                        <w:left w:val="none" w:sz="0" w:space="0" w:color="auto"/>
                        <w:bottom w:val="none" w:sz="0" w:space="0" w:color="auto"/>
                        <w:right w:val="none" w:sz="0" w:space="0" w:color="auto"/>
                      </w:divBdr>
                      <w:divsChild>
                        <w:div w:id="1721174988">
                          <w:marLeft w:val="0"/>
                          <w:marRight w:val="0"/>
                          <w:marTop w:val="0"/>
                          <w:marBottom w:val="0"/>
                          <w:divBdr>
                            <w:top w:val="none" w:sz="0" w:space="0" w:color="auto"/>
                            <w:left w:val="none" w:sz="0" w:space="0" w:color="auto"/>
                            <w:bottom w:val="none" w:sz="0" w:space="0" w:color="auto"/>
                            <w:right w:val="none" w:sz="0" w:space="0" w:color="auto"/>
                          </w:divBdr>
                          <w:divsChild>
                            <w:div w:id="530653255">
                              <w:marLeft w:val="0"/>
                              <w:marRight w:val="0"/>
                              <w:marTop w:val="15"/>
                              <w:marBottom w:val="0"/>
                              <w:divBdr>
                                <w:top w:val="none" w:sz="0" w:space="0" w:color="auto"/>
                                <w:left w:val="none" w:sz="0" w:space="0" w:color="auto"/>
                                <w:bottom w:val="none" w:sz="0" w:space="0" w:color="auto"/>
                                <w:right w:val="none" w:sz="0" w:space="0" w:color="auto"/>
                              </w:divBdr>
                              <w:divsChild>
                                <w:div w:id="1419786628">
                                  <w:marLeft w:val="0"/>
                                  <w:marRight w:val="0"/>
                                  <w:marTop w:val="0"/>
                                  <w:marBottom w:val="0"/>
                                  <w:divBdr>
                                    <w:top w:val="none" w:sz="0" w:space="0" w:color="auto"/>
                                    <w:left w:val="none" w:sz="0" w:space="0" w:color="auto"/>
                                    <w:bottom w:val="none" w:sz="0" w:space="0" w:color="auto"/>
                                    <w:right w:val="none" w:sz="0" w:space="0" w:color="auto"/>
                                  </w:divBdr>
                                  <w:divsChild>
                                    <w:div w:id="188371845">
                                      <w:marLeft w:val="0"/>
                                      <w:marRight w:val="0"/>
                                      <w:marTop w:val="0"/>
                                      <w:marBottom w:val="0"/>
                                      <w:divBdr>
                                        <w:top w:val="none" w:sz="0" w:space="0" w:color="auto"/>
                                        <w:left w:val="none" w:sz="0" w:space="0" w:color="auto"/>
                                        <w:bottom w:val="none" w:sz="0" w:space="0" w:color="auto"/>
                                        <w:right w:val="none" w:sz="0" w:space="0" w:color="auto"/>
                                      </w:divBdr>
                                    </w:div>
                                    <w:div w:id="10124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729588">
      <w:bodyDiv w:val="1"/>
      <w:marLeft w:val="0"/>
      <w:marRight w:val="0"/>
      <w:marTop w:val="0"/>
      <w:marBottom w:val="0"/>
      <w:divBdr>
        <w:top w:val="none" w:sz="0" w:space="0" w:color="auto"/>
        <w:left w:val="none" w:sz="0" w:space="0" w:color="auto"/>
        <w:bottom w:val="none" w:sz="0" w:space="0" w:color="auto"/>
        <w:right w:val="none" w:sz="0" w:space="0" w:color="auto"/>
      </w:divBdr>
      <w:divsChild>
        <w:div w:id="1544710495">
          <w:marLeft w:val="0"/>
          <w:marRight w:val="0"/>
          <w:marTop w:val="0"/>
          <w:marBottom w:val="0"/>
          <w:divBdr>
            <w:top w:val="none" w:sz="0" w:space="0" w:color="auto"/>
            <w:left w:val="none" w:sz="0" w:space="0" w:color="auto"/>
            <w:bottom w:val="none" w:sz="0" w:space="0" w:color="auto"/>
            <w:right w:val="none" w:sz="0" w:space="0" w:color="auto"/>
          </w:divBdr>
          <w:divsChild>
            <w:div w:id="14120794">
              <w:marLeft w:val="0"/>
              <w:marRight w:val="0"/>
              <w:marTop w:val="0"/>
              <w:marBottom w:val="0"/>
              <w:divBdr>
                <w:top w:val="none" w:sz="0" w:space="0" w:color="auto"/>
                <w:left w:val="none" w:sz="0" w:space="0" w:color="auto"/>
                <w:bottom w:val="none" w:sz="0" w:space="0" w:color="auto"/>
                <w:right w:val="none" w:sz="0" w:space="0" w:color="auto"/>
              </w:divBdr>
              <w:divsChild>
                <w:div w:id="1946960967">
                  <w:marLeft w:val="0"/>
                  <w:marRight w:val="0"/>
                  <w:marTop w:val="0"/>
                  <w:marBottom w:val="0"/>
                  <w:divBdr>
                    <w:top w:val="none" w:sz="0" w:space="0" w:color="auto"/>
                    <w:left w:val="none" w:sz="0" w:space="0" w:color="auto"/>
                    <w:bottom w:val="none" w:sz="0" w:space="0" w:color="auto"/>
                    <w:right w:val="none" w:sz="0" w:space="0" w:color="auto"/>
                  </w:divBdr>
                  <w:divsChild>
                    <w:div w:id="1388527093">
                      <w:marLeft w:val="0"/>
                      <w:marRight w:val="0"/>
                      <w:marTop w:val="0"/>
                      <w:marBottom w:val="0"/>
                      <w:divBdr>
                        <w:top w:val="none" w:sz="0" w:space="0" w:color="auto"/>
                        <w:left w:val="none" w:sz="0" w:space="0" w:color="auto"/>
                        <w:bottom w:val="none" w:sz="0" w:space="0" w:color="auto"/>
                        <w:right w:val="none" w:sz="0" w:space="0" w:color="auto"/>
                      </w:divBdr>
                      <w:divsChild>
                        <w:div w:id="1065495947">
                          <w:marLeft w:val="0"/>
                          <w:marRight w:val="0"/>
                          <w:marTop w:val="0"/>
                          <w:marBottom w:val="0"/>
                          <w:divBdr>
                            <w:top w:val="none" w:sz="0" w:space="0" w:color="auto"/>
                            <w:left w:val="none" w:sz="0" w:space="0" w:color="auto"/>
                            <w:bottom w:val="none" w:sz="0" w:space="0" w:color="auto"/>
                            <w:right w:val="none" w:sz="0" w:space="0" w:color="auto"/>
                          </w:divBdr>
                          <w:divsChild>
                            <w:div w:id="313415317">
                              <w:marLeft w:val="0"/>
                              <w:marRight w:val="0"/>
                              <w:marTop w:val="15"/>
                              <w:marBottom w:val="0"/>
                              <w:divBdr>
                                <w:top w:val="none" w:sz="0" w:space="0" w:color="auto"/>
                                <w:left w:val="none" w:sz="0" w:space="0" w:color="auto"/>
                                <w:bottom w:val="none" w:sz="0" w:space="0" w:color="auto"/>
                                <w:right w:val="none" w:sz="0" w:space="0" w:color="auto"/>
                              </w:divBdr>
                              <w:divsChild>
                                <w:div w:id="559250037">
                                  <w:marLeft w:val="0"/>
                                  <w:marRight w:val="0"/>
                                  <w:marTop w:val="0"/>
                                  <w:marBottom w:val="0"/>
                                  <w:divBdr>
                                    <w:top w:val="none" w:sz="0" w:space="0" w:color="auto"/>
                                    <w:left w:val="none" w:sz="0" w:space="0" w:color="auto"/>
                                    <w:bottom w:val="none" w:sz="0" w:space="0" w:color="auto"/>
                                    <w:right w:val="none" w:sz="0" w:space="0" w:color="auto"/>
                                  </w:divBdr>
                                  <w:divsChild>
                                    <w:div w:id="1061900906">
                                      <w:marLeft w:val="0"/>
                                      <w:marRight w:val="0"/>
                                      <w:marTop w:val="0"/>
                                      <w:marBottom w:val="0"/>
                                      <w:divBdr>
                                        <w:top w:val="none" w:sz="0" w:space="0" w:color="auto"/>
                                        <w:left w:val="none" w:sz="0" w:space="0" w:color="auto"/>
                                        <w:bottom w:val="none" w:sz="0" w:space="0" w:color="auto"/>
                                        <w:right w:val="none" w:sz="0" w:space="0" w:color="auto"/>
                                      </w:divBdr>
                                    </w:div>
                                    <w:div w:id="137770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2256147">
      <w:bodyDiv w:val="1"/>
      <w:marLeft w:val="0"/>
      <w:marRight w:val="0"/>
      <w:marTop w:val="0"/>
      <w:marBottom w:val="0"/>
      <w:divBdr>
        <w:top w:val="none" w:sz="0" w:space="0" w:color="auto"/>
        <w:left w:val="none" w:sz="0" w:space="0" w:color="auto"/>
        <w:bottom w:val="none" w:sz="0" w:space="0" w:color="auto"/>
        <w:right w:val="none" w:sz="0" w:space="0" w:color="auto"/>
      </w:divBdr>
    </w:div>
    <w:div w:id="544295912">
      <w:bodyDiv w:val="1"/>
      <w:marLeft w:val="0"/>
      <w:marRight w:val="0"/>
      <w:marTop w:val="0"/>
      <w:marBottom w:val="0"/>
      <w:divBdr>
        <w:top w:val="none" w:sz="0" w:space="0" w:color="auto"/>
        <w:left w:val="none" w:sz="0" w:space="0" w:color="auto"/>
        <w:bottom w:val="none" w:sz="0" w:space="0" w:color="auto"/>
        <w:right w:val="none" w:sz="0" w:space="0" w:color="auto"/>
      </w:divBdr>
    </w:div>
    <w:div w:id="645820301">
      <w:bodyDiv w:val="1"/>
      <w:marLeft w:val="0"/>
      <w:marRight w:val="0"/>
      <w:marTop w:val="0"/>
      <w:marBottom w:val="0"/>
      <w:divBdr>
        <w:top w:val="none" w:sz="0" w:space="0" w:color="auto"/>
        <w:left w:val="none" w:sz="0" w:space="0" w:color="auto"/>
        <w:bottom w:val="none" w:sz="0" w:space="0" w:color="auto"/>
        <w:right w:val="none" w:sz="0" w:space="0" w:color="auto"/>
      </w:divBdr>
    </w:div>
    <w:div w:id="1208908523">
      <w:bodyDiv w:val="1"/>
      <w:marLeft w:val="390"/>
      <w:marRight w:val="390"/>
      <w:marTop w:val="0"/>
      <w:marBottom w:val="0"/>
      <w:divBdr>
        <w:top w:val="none" w:sz="0" w:space="0" w:color="auto"/>
        <w:left w:val="none" w:sz="0" w:space="0" w:color="auto"/>
        <w:bottom w:val="none" w:sz="0" w:space="0" w:color="auto"/>
        <w:right w:val="none" w:sz="0" w:space="0" w:color="auto"/>
      </w:divBdr>
    </w:div>
    <w:div w:id="1575159690">
      <w:bodyDiv w:val="1"/>
      <w:marLeft w:val="0"/>
      <w:marRight w:val="0"/>
      <w:marTop w:val="0"/>
      <w:marBottom w:val="0"/>
      <w:divBdr>
        <w:top w:val="none" w:sz="0" w:space="0" w:color="auto"/>
        <w:left w:val="none" w:sz="0" w:space="0" w:color="auto"/>
        <w:bottom w:val="none" w:sz="0" w:space="0" w:color="auto"/>
        <w:right w:val="none" w:sz="0" w:space="0" w:color="auto"/>
      </w:divBdr>
    </w:div>
    <w:div w:id="1925262330">
      <w:bodyDiv w:val="1"/>
      <w:marLeft w:val="0"/>
      <w:marRight w:val="0"/>
      <w:marTop w:val="0"/>
      <w:marBottom w:val="0"/>
      <w:divBdr>
        <w:top w:val="none" w:sz="0" w:space="0" w:color="auto"/>
        <w:left w:val="none" w:sz="0" w:space="0" w:color="auto"/>
        <w:bottom w:val="none" w:sz="0" w:space="0" w:color="auto"/>
        <w:right w:val="none" w:sz="0" w:space="0" w:color="auto"/>
      </w:divBdr>
    </w:div>
    <w:div w:id="20251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ec.europa.eu/transparency/regdoc/?fuseaction=ia&amp;language=el" TargetMode="External"/><Relationship Id="rId25" Type="http://schemas.openxmlformats.org/officeDocument/2006/relationships/footer" Target="footer8.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ec.europa.eu/agriculture/events/cap-have-your-say/workshops_en" TargetMode="Externa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ec.europa.eu/agriculture/events/cap-have-your-say/workshops_en" TargetMode="Externa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agriculture/sites/agriculture/files/agri-markets-task-force/improving-markets-outcomes_en.pdf" TargetMode="External"/><Relationship Id="rId3" Type="http://schemas.openxmlformats.org/officeDocument/2006/relationships/hyperlink" Target="https://ec.europa.eu/agriculture/sites/agriculture/files/evaluation/plan_en.pdf" TargetMode="External"/><Relationship Id="rId7" Type="http://schemas.openxmlformats.org/officeDocument/2006/relationships/hyperlink" Target="https://ec.europa.eu/agriculture/sites/agriculture/files/consultations/cap-modernising/soc_background_final_en.pdf" TargetMode="External"/><Relationship Id="rId2" Type="http://schemas.openxmlformats.org/officeDocument/2006/relationships/hyperlink" Target="https://publications.europa.eu/en/publication-detail/-/publication/06ab9386-193b-11e4-933d-01aa75ed71a1/language-en" TargetMode="External"/><Relationship Id="rId1" Type="http://schemas.openxmlformats.org/officeDocument/2006/relationships/hyperlink" Target="http://eur-lex.europa.eu/legal-content/EN/ALL/?uri=CELEX:32013R1306" TargetMode="External"/><Relationship Id="rId6" Type="http://schemas.openxmlformats.org/officeDocument/2006/relationships/hyperlink" Target="https://ec.europa.eu/agriculture/sites/agriculture/files/consultations/cap-modernising/env_background_final_en.pdf" TargetMode="External"/><Relationship Id="rId5" Type="http://schemas.openxmlformats.org/officeDocument/2006/relationships/hyperlink" Target="https://ec.europa.eu/agriculture/sites/agriculture/files/consultations/cap-modernising/eco_background_final_en.pdf" TargetMode="External"/><Relationship Id="rId10" Type="http://schemas.openxmlformats.org/officeDocument/2006/relationships/hyperlink" Target="https://myintracomm.ec.europa.eu/budgweb/EN/man/budgmanag/Pages/budgmanag.aspx" TargetMode="External"/><Relationship Id="rId4" Type="http://schemas.openxmlformats.org/officeDocument/2006/relationships/hyperlink" Target="https://ec.europa.eu/agriculture/statistics/facts-and-figures_en" TargetMode="External"/><Relationship Id="rId9" Type="http://schemas.openxmlformats.org/officeDocument/2006/relationships/hyperlink" Target="https://ec.europa.eu/agriculture/events/rural-development-2016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F5B578E-425D-44F6-A767-4B62FAEEA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124</Pages>
  <Words>48686</Words>
  <Characters>262909</Characters>
  <Application>Microsoft Office Word</Application>
  <DocSecurity>0</DocSecurity>
  <Lines>2190</Lines>
  <Paragraphs>621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310974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Θεοδωρίδου Χρυσούλα</dc:creator>
  <cp:lastModifiedBy>Θεοδωρίδου Χρυσούλα</cp:lastModifiedBy>
  <cp:revision>2</cp:revision>
  <cp:lastPrinted>2018-05-23T08:26:00Z</cp:lastPrinted>
  <dcterms:created xsi:type="dcterms:W3CDTF">2018-07-03T11:44:00Z</dcterms:created>
  <dcterms:modified xsi:type="dcterms:W3CDTF">2018-07-03T11:44:00Z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Red (DQC version 03)</vt:lpwstr>
  </property>
</Properties>
</file>